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none" w:color="FFFFFF" w:sz="0"/>
              <w:left w:val="none" w:color="FFFFFF" w:sz="0"/>
              <w:bottom w:val="single" w:color="C4A35A" w:sz="16"/>
              <w:right w:val="none" w:color="FFFFFF" w:sz="0"/>
            </w:tcBorders>
            <w:shd w:fill="1B365D" w:val="clear"/>
            <w:tcMar>
              <w:top w:type="dxa" w:w="80"/>
              <w:left w:type="dxa" w:w="160"/>
              <w:bottom w:type="dxa" w:w="80"/>
              <w:right w:type="dxa" w:w="160"/>
            </w:tcMar>
          </w:tcPr>
          <w:p>
            <w:r>
              <w:rPr>
                <w:rFonts w:ascii="Calibri" w:cs="Calibri" w:eastAsia="Calibri" w:hAnsi="Calibri"/>
                <w:b/>
                <w:bCs/>
                <w:i w:val="false"/>
                <w:iCs w:val="false"/>
                <w:color w:val="C4A35A"/>
                <w:sz w:val="16"/>
                <w:szCs w:val="16"/>
              </w:rPr>
              <w:t xml:space="preserve">THE BLEVINS COMPANY</w:t>
            </w:r>
          </w:p>
          <w:p>
            <w:pPr>
              <w:spacing w:before="40"/>
            </w:pPr>
            <w:r>
              <w:rPr>
                <w:rFonts w:ascii="Calibri" w:cs="Calibri" w:eastAsia="Calibri" w:hAnsi="Calibri"/>
                <w:b/>
                <w:bCs/>
                <w:i w:val="false"/>
                <w:iCs w:val="false"/>
                <w:color w:val="FFFFFF"/>
                <w:sz w:val="28"/>
                <w:szCs w:val="28"/>
              </w:rPr>
              <w:t xml:space="preserve">BOARD OF GOVERNORS</w:t>
            </w:r>
          </w:p>
          <w:p>
            <w:pPr>
              <w:spacing w:before="20"/>
            </w:pPr>
            <w:r>
              <w:rPr>
                <w:rFonts w:ascii="Calibri" w:cs="Calibri" w:eastAsia="Calibri" w:hAnsi="Calibri"/>
                <w:b w:val="false"/>
                <w:bCs w:val="false"/>
                <w:i w:val="false"/>
                <w:iCs w:val="false"/>
                <w:color w:val="E8D5A3"/>
                <w:sz w:val="18"/>
                <w:szCs w:val="18"/>
              </w:rPr>
              <w:t xml:space="preserve">GOV.02  ·  Rev. 1.0  ·  Calendar Year 2026</w:t>
            </w:r>
          </w:p>
        </w:tc>
      </w:tr>
    </w:tbl>
    <w:p>
      <w:pPr>
        <w:spacing w:after="80" w:before="280"/>
      </w:pPr>
      <w:r>
        <w:rPr>
          <w:rFonts w:ascii="Calibri" w:cs="Calibri" w:eastAsia="Calibri" w:hAnsi="Calibri"/>
          <w:b/>
          <w:bCs/>
          <w:i w:val="false"/>
          <w:iCs w:val="false"/>
          <w:color w:val="1B365D"/>
          <w:sz w:val="40"/>
          <w:szCs w:val="40"/>
        </w:rPr>
        <w:t xml:space="preserve">Conflict of Interest</w:t>
      </w:r>
    </w:p>
    <w:p>
      <w:pPr>
        <w:spacing w:after="240"/>
      </w:pPr>
      <w:r>
        <w:rPr>
          <w:rFonts w:ascii="Calibri" w:cs="Calibri" w:eastAsia="Calibri" w:hAnsi="Calibri"/>
          <w:b/>
          <w:bCs/>
          <w:i w:val="false"/>
          <w:iCs w:val="false"/>
          <w:color w:val="0F2744"/>
          <w:sz w:val="32"/>
          <w:szCs w:val="32"/>
        </w:rPr>
        <w:t xml:space="preserve">2026 Compliance Procedures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B365D"/>
                <w:sz w:val="18"/>
                <w:szCs w:val="18"/>
              </w:rPr>
              <w:t xml:space="preserve">Instrument</w:t>
            </w:r>
          </w:p>
        </w:tc>
        <w:tc>
          <w:tcPr>
            <w:tcW w:type="dxa" w:w="7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Board Policy / Compliance Procedures  ·  GOV.02</w:t>
            </w:r>
          </w:p>
        </w:tc>
      </w:tr>
      <w:tr>
        <w:tc>
          <w:tcPr>
            <w:tcW w:type="dxa" w:w="28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B365D"/>
                <w:sz w:val="18"/>
                <w:szCs w:val="18"/>
              </w:rPr>
              <w:t xml:space="preserve">Responsible Officer</w:t>
            </w:r>
          </w:p>
        </w:tc>
        <w:tc>
          <w:tcPr>
            <w:tcW w:type="dxa" w:w="7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Chief Compliance Officer</w:t>
            </w:r>
          </w:p>
        </w:tc>
      </w:tr>
      <w:tr>
        <w:tc>
          <w:tcPr>
            <w:tcW w:type="dxa" w:w="28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B365D"/>
                <w:sz w:val="18"/>
                <w:szCs w:val="18"/>
              </w:rPr>
              <w:t xml:space="preserve">Responsible Office</w:t>
            </w:r>
          </w:p>
        </w:tc>
        <w:tc>
          <w:tcPr>
            <w:tcW w:type="dxa" w:w="7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Office of the General Counsel / Ethics &amp; Compliance</w:t>
            </w:r>
          </w:p>
        </w:tc>
      </w:tr>
      <w:tr>
        <w:tc>
          <w:tcPr>
            <w:tcW w:type="dxa" w:w="28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B365D"/>
                <w:sz w:val="18"/>
                <w:szCs w:val="18"/>
              </w:rPr>
              <w:t xml:space="preserve">Responsible Committee</w:t>
            </w:r>
          </w:p>
        </w:tc>
        <w:tc>
          <w:tcPr>
            <w:tcW w:type="dxa" w:w="7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Legal Committee of the Board of Governors</w:t>
            </w:r>
          </w:p>
        </w:tc>
      </w:tr>
      <w:tr>
        <w:tc>
          <w:tcPr>
            <w:tcW w:type="dxa" w:w="28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B365D"/>
                <w:sz w:val="18"/>
                <w:szCs w:val="18"/>
              </w:rPr>
              <w:t xml:space="preserve">Policy Sponsor</w:t>
            </w:r>
          </w:p>
        </w:tc>
        <w:tc>
          <w:tcPr>
            <w:tcW w:type="dxa" w:w="7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Chair, Legal Committee</w:t>
            </w:r>
          </w:p>
        </w:tc>
      </w:tr>
      <w:tr>
        <w:tc>
          <w:tcPr>
            <w:tcW w:type="dxa" w:w="28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B365D"/>
                <w:sz w:val="18"/>
                <w:szCs w:val="18"/>
              </w:rPr>
              <w:t xml:space="preserve">Policy Owner</w:t>
            </w:r>
          </w:p>
        </w:tc>
        <w:tc>
          <w:tcPr>
            <w:tcW w:type="dxa" w:w="7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Chief Compliance Officer</w:t>
            </w:r>
          </w:p>
        </w:tc>
      </w:tr>
      <w:tr>
        <w:tc>
          <w:tcPr>
            <w:tcW w:type="dxa" w:w="28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B365D"/>
                <w:sz w:val="18"/>
                <w:szCs w:val="18"/>
              </w:rPr>
              <w:t xml:space="preserve">Issuance Date</w:t>
            </w:r>
          </w:p>
        </w:tc>
        <w:tc>
          <w:tcPr>
            <w:tcW w:type="dxa" w:w="7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September 18, 2026</w:t>
            </w:r>
          </w:p>
        </w:tc>
      </w:tr>
      <w:tr>
        <w:tc>
          <w:tcPr>
            <w:tcW w:type="dxa" w:w="28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B365D"/>
                <w:sz w:val="18"/>
                <w:szCs w:val="18"/>
              </w:rPr>
              <w:t xml:space="preserve">Effective Date</w:t>
            </w:r>
          </w:p>
        </w:tc>
        <w:tc>
          <w:tcPr>
            <w:tcW w:type="dxa" w:w="7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October 1, 2026</w:t>
            </w:r>
          </w:p>
        </w:tc>
      </w:tr>
      <w:tr>
        <w:tc>
          <w:tcPr>
            <w:tcW w:type="dxa" w:w="28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B365D"/>
                <w:sz w:val="18"/>
                <w:szCs w:val="18"/>
              </w:rPr>
              <w:t xml:space="preserve">Next Review</w:t>
            </w:r>
          </w:p>
        </w:tc>
        <w:tc>
          <w:tcPr>
            <w:tcW w:type="dxa" w:w="7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October 1, 2027, or sooner upon a material legal or organizational change</w:t>
            </w:r>
          </w:p>
        </w:tc>
      </w:tr>
      <w:tr>
        <w:tc>
          <w:tcPr>
            <w:tcW w:type="dxa" w:w="28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B365D"/>
                <w:sz w:val="18"/>
                <w:szCs w:val="18"/>
              </w:rPr>
              <w:t xml:space="preserve">Scope</w:t>
            </w:r>
          </w:p>
        </w:tc>
        <w:tc>
          <w:tcPr>
            <w:tcW w:type="dxa" w:w="7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The Blevins Company; Blevins Holdings LLC (Form 1120-S); Blevins Defense LLC (BDEF); Blevins Enterprise Group (BEG); Blevins Family Foundation; and every other controlled affiliate, whether or not it has a separate EIN.</w:t>
            </w:r>
          </w:p>
        </w:tc>
      </w:tr>
      <w:tr>
        <w:tc>
          <w:tcPr>
            <w:tcW w:type="dxa" w:w="28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B365D"/>
                <w:sz w:val="18"/>
                <w:szCs w:val="18"/>
              </w:rPr>
              <w:t xml:space="preserve">Contact</w:t>
            </w:r>
          </w:p>
        </w:tc>
        <w:tc>
          <w:tcPr>
            <w:tcW w:type="dxa" w:w="7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Clerk of the Board  ·  1.800.385.1751#100201  ·  clerk@blevinsholdings.com</w:t>
            </w:r>
          </w:p>
        </w:tc>
      </w:tr>
      <w:tr>
        <w:tc>
          <w:tcPr>
            <w:tcW w:type="dxa" w:w="28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B365D"/>
                <w:sz w:val="18"/>
                <w:szCs w:val="18"/>
              </w:rPr>
              <w:t xml:space="preserve">Ethics hotline</w:t>
            </w:r>
          </w:p>
        </w:tc>
        <w:tc>
          <w:tcPr>
            <w:tcW w:type="dxa" w:w="7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compliance@blevinsholdings.com  ·  copy General Counsel and Chief Compliance Officer</w:t>
            </w:r>
          </w:p>
        </w:tc>
      </w:tr>
    </w:tbl>
    <w:p>
      <w:pPr>
        <w:spacing w:after="120" w:line="276"/>
      </w:pPr>
      <w:r>
        <w:rPr>
          <w:rFonts w:ascii="Calibri" w:cs="Calibri" w:eastAsia="Calibri" w:hAnsi="Calibri"/>
          <w:b w:val="false"/>
          <w:bCs w:val="false"/>
          <w:i/>
          <w:iCs/>
          <w:color w:val="5C6570"/>
          <w:sz w:val="18"/>
          <w:szCs w:val="18"/>
        </w:rPr>
        <w:t xml:space="preserve">CONFIDENTIAL — INTERNAL USE ONLY.  This instrument is a Tier 1 Board Policy issued under GOV.01 (Policy on Policies). It is operative only while listed as Active on the Policy Matrix.</w:t>
      </w:r>
    </w:p>
    <w:p>
      <w:pPr>
        <w:pStyle w:val="Heading1"/>
        <w:pBdr>
          <w:bottom w:val="single" w:color="1B365D" w:sz="12" w:space="4"/>
        </w:pBdr>
        <w:spacing w:after="140" w:before="280"/>
      </w:pPr>
      <w:r>
        <w:rPr>
          <w:rFonts w:ascii="Calibri" w:cs="Calibri" w:eastAsia="Calibri" w:hAnsi="Calibri"/>
          <w:b/>
          <w:bCs/>
          <w:color w:val="1B365D"/>
          <w:sz w:val="28"/>
          <w:szCs w:val="28"/>
        </w:rPr>
        <w:t xml:space="preserve">I. Purpose and Policy Summary</w:t>
      </w:r>
    </w:p>
    <w:p>
      <w:pPr>
        <w:spacing w:after="140" w:line="276"/>
      </w:pPr>
      <w:r>
        <w:rPr>
          <w:rFonts w:ascii="Calibri" w:cs="Calibri" w:eastAsia="Calibri" w:hAnsi="Calibri"/>
          <w:b w:val="false"/>
          <w:bCs w:val="false"/>
          <w:i w:val="false"/>
          <w:iCs w:val="false"/>
          <w:color w:val="1A1A1A"/>
          <w:sz w:val="21"/>
          <w:szCs w:val="21"/>
        </w:rPr>
        <w:t xml:space="preserve">The Blevins Company operates a California-headquartered holdings enterprise across government contracting, energy, healthcare, pharmaceuticals, data infrastructure, real estate, and a private foundation. Those businesses create recurring, high-consequence conflict-of-interest risk: organizational conflicts of interest on classified and civilian federal work; related-party dealings among separate EIN entities; S-corporation shareholder transactions; and excess-benefit exposure at the Foundation.</w:t>
      </w:r>
    </w:p>
    <w:p>
      <w:pPr>
        <w:spacing w:after="140" w:line="276"/>
      </w:pPr>
      <w:r>
        <w:rPr>
          <w:rFonts w:ascii="Calibri" w:cs="Calibri" w:eastAsia="Calibri" w:hAnsi="Calibri"/>
          <w:b w:val="false"/>
          <w:bCs w:val="false"/>
          <w:i w:val="false"/>
          <w:iCs w:val="false"/>
          <w:color w:val="1A1A1A"/>
          <w:sz w:val="21"/>
          <w:szCs w:val="21"/>
        </w:rPr>
        <w:t xml:space="preserve">These Procedures establish a single Company-wide standard for identifying, disclosing, evaluating, managing, and recording conflicts of interest. They implement, and do not replace, applicable law, including California Corporations Code duties of loyalty and care, Internal Revenue Code rules applicable to S corporations and § 501(c)(3) organizations, the Federal Acquisition Regulation (FAR) Subpart 9.5 and DFARS organizational-conflict rules applicable to BDEF, and any contract-specific OCI clause.</w:t>
      </w:r>
    </w:p>
    <w:p>
      <w:pPr>
        <w:spacing w:after="140" w:line="276"/>
      </w:pPr>
      <w:r>
        <w:rPr>
          <w:rFonts w:ascii="Calibri" w:cs="Calibri" w:eastAsia="Calibri" w:hAnsi="Calibri"/>
          <w:b w:val="false"/>
          <w:bCs w:val="false"/>
          <w:i w:val="false"/>
          <w:iCs w:val="false"/>
          <w:color w:val="1A1A1A"/>
          <w:sz w:val="21"/>
          <w:szCs w:val="21"/>
        </w:rPr>
        <w:t xml:space="preserve">A conflict that is disclosed, documented, and managed under this instrument may be permitted. An undisclosed conflict is a policy violation regardless of dollar amount or good faith.</w:t>
      </w:r>
    </w:p>
    <w:p>
      <w:pPr>
        <w:pStyle w:val="Heading1"/>
        <w:pBdr>
          <w:bottom w:val="single" w:color="1B365D" w:sz="12" w:space="4"/>
        </w:pBdr>
        <w:spacing w:after="140" w:before="280"/>
      </w:pPr>
      <w:r>
        <w:rPr>
          <w:rFonts w:ascii="Calibri" w:cs="Calibri" w:eastAsia="Calibri" w:hAnsi="Calibri"/>
          <w:b/>
          <w:bCs/>
          <w:color w:val="1B365D"/>
          <w:sz w:val="28"/>
          <w:szCs w:val="28"/>
        </w:rPr>
        <w:t xml:space="preserve">II. Definitions</w:t>
      </w:r>
    </w:p>
    <w:p>
      <w:pPr>
        <w:spacing w:after="100" w:line="260"/>
      </w:pPr>
      <w:r>
        <w:rPr>
          <w:rFonts w:ascii="Calibri" w:cs="Calibri" w:eastAsia="Calibri" w:hAnsi="Calibri"/>
          <w:b/>
          <w:bCs/>
          <w:i w:val="false"/>
          <w:iCs w:val="false"/>
          <w:color w:val="1B365D"/>
          <w:sz w:val="21"/>
          <w:szCs w:val="21"/>
        </w:rPr>
        <w:t xml:space="preserve">Covered Person.  </w:t>
      </w:r>
      <w:r>
        <w:rPr>
          <w:rFonts w:ascii="Calibri" w:cs="Calibri" w:eastAsia="Calibri" w:hAnsi="Calibri"/>
          <w:b w:val="false"/>
          <w:bCs w:val="false"/>
          <w:i w:val="false"/>
          <w:iCs w:val="false"/>
          <w:color w:val="1A1A1A"/>
          <w:sz w:val="21"/>
          <w:szCs w:val="21"/>
        </w:rPr>
        <w:t xml:space="preserve">Every Governor; every officer; every employee; every contingent worker engaged for 30 days or more; every &gt;2% shareholder of an S-corporation affiliate; every Foundation director, officer, and disqualified person under IRC § 4958; and every consultant who can influence a procurement, contract award, hiring, grant, or investment decision.</w:t>
      </w:r>
    </w:p>
    <w:p>
      <w:pPr>
        <w:spacing w:after="100" w:line="260"/>
      </w:pPr>
      <w:r>
        <w:rPr>
          <w:rFonts w:ascii="Calibri" w:cs="Calibri" w:eastAsia="Calibri" w:hAnsi="Calibri"/>
          <w:b/>
          <w:bCs/>
          <w:i w:val="false"/>
          <w:iCs w:val="false"/>
          <w:color w:val="1B365D"/>
          <w:sz w:val="21"/>
          <w:szCs w:val="21"/>
        </w:rPr>
        <w:t xml:space="preserve">Family Member.  </w:t>
      </w:r>
      <w:r>
        <w:rPr>
          <w:rFonts w:ascii="Calibri" w:cs="Calibri" w:eastAsia="Calibri" w:hAnsi="Calibri"/>
          <w:b w:val="false"/>
          <w:bCs w:val="false"/>
          <w:i w:val="false"/>
          <w:iCs w:val="false"/>
          <w:color w:val="1A1A1A"/>
          <w:sz w:val="21"/>
          <w:szCs w:val="21"/>
        </w:rPr>
        <w:t xml:space="preserve">Spouse or domestic partner; child, stepchild, or grandchild; parent or step-parent; sibling; and any person sharing the Covered Person’s household. Attribution under IRC §§ 267 and 318 applies for tax-related determinations.</w:t>
      </w:r>
    </w:p>
    <w:p>
      <w:pPr>
        <w:spacing w:after="100" w:line="260"/>
      </w:pPr>
      <w:r>
        <w:rPr>
          <w:rFonts w:ascii="Calibri" w:cs="Calibri" w:eastAsia="Calibri" w:hAnsi="Calibri"/>
          <w:b/>
          <w:bCs/>
          <w:i w:val="false"/>
          <w:iCs w:val="false"/>
          <w:color w:val="1B365D"/>
          <w:sz w:val="21"/>
          <w:szCs w:val="21"/>
        </w:rPr>
        <w:t xml:space="preserve">Financial Interest.  </w:t>
      </w:r>
      <w:r>
        <w:rPr>
          <w:rFonts w:ascii="Calibri" w:cs="Calibri" w:eastAsia="Calibri" w:hAnsi="Calibri"/>
          <w:b w:val="false"/>
          <w:bCs w:val="false"/>
          <w:i w:val="false"/>
          <w:iCs w:val="false"/>
          <w:color w:val="1A1A1A"/>
          <w:sz w:val="21"/>
          <w:szCs w:val="21"/>
        </w:rPr>
        <w:t xml:space="preserve">Ownership of more than 1% of any class of securities; a debt interest; a compensation, commission, finder’s, or success fee arrangement; a board, officer, or key-employee seat; or any other economic stake that a reasonable person would consider material. Mutual-fund holdings under 1% with no ability to influence the issuer are excluded.</w:t>
      </w:r>
    </w:p>
    <w:p>
      <w:pPr>
        <w:spacing w:after="100" w:line="260"/>
      </w:pPr>
      <w:r>
        <w:rPr>
          <w:rFonts w:ascii="Calibri" w:cs="Calibri" w:eastAsia="Calibri" w:hAnsi="Calibri"/>
          <w:b/>
          <w:bCs/>
          <w:i w:val="false"/>
          <w:iCs w:val="false"/>
          <w:color w:val="1B365D"/>
          <w:sz w:val="21"/>
          <w:szCs w:val="21"/>
        </w:rPr>
        <w:t xml:space="preserve">Related Party.  </w:t>
      </w:r>
      <w:r>
        <w:rPr>
          <w:rFonts w:ascii="Calibri" w:cs="Calibri" w:eastAsia="Calibri" w:hAnsi="Calibri"/>
          <w:b w:val="false"/>
          <w:bCs w:val="false"/>
          <w:i w:val="false"/>
          <w:iCs w:val="false"/>
          <w:color w:val="1A1A1A"/>
          <w:sz w:val="21"/>
          <w:szCs w:val="21"/>
        </w:rPr>
        <w:t xml:space="preserve">A Covered Person, a Family Member, an entity in which either holds a Financial Interest, and any Company affiliate that has its own EIN (including BDEF, BEG, and the Foundation) when dealing with another Company affiliate.</w:t>
      </w:r>
    </w:p>
    <w:p>
      <w:pPr>
        <w:spacing w:after="100" w:line="260"/>
      </w:pPr>
      <w:r>
        <w:rPr>
          <w:rFonts w:ascii="Calibri" w:cs="Calibri" w:eastAsia="Calibri" w:hAnsi="Calibri"/>
          <w:b/>
          <w:bCs/>
          <w:i w:val="false"/>
          <w:iCs w:val="false"/>
          <w:color w:val="1B365D"/>
          <w:sz w:val="21"/>
          <w:szCs w:val="21"/>
        </w:rPr>
        <w:t xml:space="preserve">Organizational Conflict of Interest (OCI).  </w:t>
      </w:r>
      <w:r>
        <w:rPr>
          <w:rFonts w:ascii="Calibri" w:cs="Calibri" w:eastAsia="Calibri" w:hAnsi="Calibri"/>
          <w:b w:val="false"/>
          <w:bCs w:val="false"/>
          <w:i w:val="false"/>
          <w:iCs w:val="false"/>
          <w:color w:val="1A1A1A"/>
          <w:sz w:val="21"/>
          <w:szCs w:val="21"/>
        </w:rPr>
        <w:t xml:space="preserve">As used in FAR 9.5: unequal access to information, biased ground rules, or impaired objectivity arising from other activities or relationships, including work performed by a sister entity.</w:t>
      </w:r>
    </w:p>
    <w:p>
      <w:pPr>
        <w:spacing w:after="100" w:line="260"/>
      </w:pPr>
      <w:r>
        <w:rPr>
          <w:rFonts w:ascii="Calibri" w:cs="Calibri" w:eastAsia="Calibri" w:hAnsi="Calibri"/>
          <w:b/>
          <w:bCs/>
          <w:i w:val="false"/>
          <w:iCs w:val="false"/>
          <w:color w:val="1B365D"/>
          <w:sz w:val="21"/>
          <w:szCs w:val="21"/>
        </w:rPr>
        <w:t xml:space="preserve">Related-Party Transaction (RPT).  </w:t>
      </w:r>
      <w:r>
        <w:rPr>
          <w:rFonts w:ascii="Calibri" w:cs="Calibri" w:eastAsia="Calibri" w:hAnsi="Calibri"/>
          <w:b w:val="false"/>
          <w:bCs w:val="false"/>
          <w:i w:val="false"/>
          <w:iCs w:val="false"/>
          <w:color w:val="1A1A1A"/>
          <w:sz w:val="21"/>
          <w:szCs w:val="21"/>
        </w:rPr>
        <w:t xml:space="preserve">Any transfer of value — cash, property, services, credit, guarantee, lease, license, grant, or forgiveness — between the Company or an affiliate and a Related Party, including intercompany activity posted to GL 1120 / 2010 / 1810 / 2800 / 1800 / 4910 / 3210.</w:t>
      </w:r>
    </w:p>
    <w:p>
      <w:pPr>
        <w:spacing w:after="100" w:line="260"/>
      </w:pPr>
      <w:r>
        <w:rPr>
          <w:rFonts w:ascii="Calibri" w:cs="Calibri" w:eastAsia="Calibri" w:hAnsi="Calibri"/>
          <w:b/>
          <w:bCs/>
          <w:i w:val="false"/>
          <w:iCs w:val="false"/>
          <w:color w:val="1B365D"/>
          <w:sz w:val="21"/>
          <w:szCs w:val="21"/>
        </w:rPr>
        <w:t xml:space="preserve">Corporate Opportunity.  </w:t>
      </w:r>
      <w:r>
        <w:rPr>
          <w:rFonts w:ascii="Calibri" w:cs="Calibri" w:eastAsia="Calibri" w:hAnsi="Calibri"/>
          <w:b w:val="false"/>
          <w:bCs w:val="false"/>
          <w:i w:val="false"/>
          <w:iCs w:val="false"/>
          <w:color w:val="1A1A1A"/>
          <w:sz w:val="21"/>
          <w:szCs w:val="21"/>
        </w:rPr>
        <w:t xml:space="preserve">A business opportunity in the Company’s existing or contemplated lines that comes to a Covered Person by reason of their position.</w:t>
      </w:r>
    </w:p>
    <w:p>
      <w:pPr>
        <w:spacing w:after="100" w:line="260"/>
      </w:pPr>
      <w:r>
        <w:rPr>
          <w:rFonts w:ascii="Calibri" w:cs="Calibri" w:eastAsia="Calibri" w:hAnsi="Calibri"/>
          <w:b/>
          <w:bCs/>
          <w:i w:val="false"/>
          <w:iCs w:val="false"/>
          <w:color w:val="1B365D"/>
          <w:sz w:val="21"/>
          <w:szCs w:val="21"/>
        </w:rPr>
        <w:t xml:space="preserve">Disqualified Person.  </w:t>
      </w:r>
      <w:r>
        <w:rPr>
          <w:rFonts w:ascii="Calibri" w:cs="Calibri" w:eastAsia="Calibri" w:hAnsi="Calibri"/>
          <w:b w:val="false"/>
          <w:bCs w:val="false"/>
          <w:i w:val="false"/>
          <w:iCs w:val="false"/>
          <w:color w:val="1A1A1A"/>
          <w:sz w:val="21"/>
          <w:szCs w:val="21"/>
        </w:rPr>
        <w:t xml:space="preserve">For Foundation matters, a person described in IRC § 4958(f), including Foundation directors and officers and persons with substantial influence over the Foundation.</w:t>
      </w:r>
    </w:p>
    <w:p>
      <w:pPr>
        <w:spacing w:after="100" w:line="260"/>
      </w:pPr>
      <w:r>
        <w:rPr>
          <w:rFonts w:ascii="Calibri" w:cs="Calibri" w:eastAsia="Calibri" w:hAnsi="Calibri"/>
          <w:b/>
          <w:bCs/>
          <w:i w:val="false"/>
          <w:iCs w:val="false"/>
          <w:color w:val="1B365D"/>
          <w:sz w:val="21"/>
          <w:szCs w:val="21"/>
        </w:rPr>
        <w:t xml:space="preserve">Management Plan.  </w:t>
      </w:r>
      <w:r>
        <w:rPr>
          <w:rFonts w:ascii="Calibri" w:cs="Calibri" w:eastAsia="Calibri" w:hAnsi="Calibri"/>
          <w:b w:val="false"/>
          <w:bCs w:val="false"/>
          <w:i w:val="false"/>
          <w:iCs w:val="false"/>
          <w:color w:val="1A1A1A"/>
          <w:sz w:val="21"/>
          <w:szCs w:val="21"/>
        </w:rPr>
        <w:t xml:space="preserve">A written plan approved under Section VIII that permits an identified conflict to continue under defined conditions (recusal, information barriers, independent approval, or unwind).</w:t>
      </w:r>
    </w:p>
    <w:p>
      <w:pPr>
        <w:spacing w:after="100" w:line="260"/>
      </w:pPr>
      <w:r>
        <w:rPr>
          <w:rFonts w:ascii="Calibri" w:cs="Calibri" w:eastAsia="Calibri" w:hAnsi="Calibri"/>
          <w:b/>
          <w:bCs/>
          <w:i w:val="false"/>
          <w:iCs w:val="false"/>
          <w:color w:val="1B365D"/>
          <w:sz w:val="21"/>
          <w:szCs w:val="21"/>
        </w:rPr>
        <w:t xml:space="preserve">Disclosure File.  </w:t>
      </w:r>
      <w:r>
        <w:rPr>
          <w:rFonts w:ascii="Calibri" w:cs="Calibri" w:eastAsia="Calibri" w:hAnsi="Calibri"/>
          <w:b w:val="false"/>
          <w:bCs w:val="false"/>
          <w:i w:val="false"/>
          <w:iCs w:val="false"/>
          <w:color w:val="1A1A1A"/>
          <w:sz w:val="21"/>
          <w:szCs w:val="21"/>
        </w:rPr>
        <w:t xml:space="preserve">The official record maintained by the Chief Compliance Officer for each Covered Person and each managed conflict.</w:t>
      </w:r>
    </w:p>
    <w:p>
      <w:pPr>
        <w:pStyle w:val="Heading1"/>
        <w:pBdr>
          <w:bottom w:val="single" w:color="1B365D" w:sz="12" w:space="4"/>
        </w:pBdr>
        <w:spacing w:after="140" w:before="280"/>
      </w:pPr>
      <w:r>
        <w:rPr>
          <w:rFonts w:ascii="Calibri" w:cs="Calibri" w:eastAsia="Calibri" w:hAnsi="Calibri"/>
          <w:b/>
          <w:bCs/>
          <w:color w:val="1B365D"/>
          <w:sz w:val="28"/>
          <w:szCs w:val="28"/>
        </w:rPr>
        <w:t xml:space="preserve">III. Scope and Covered Entities</w:t>
      </w:r>
    </w:p>
    <w:p>
      <w:pPr>
        <w:spacing w:after="140" w:line="276"/>
      </w:pPr>
      <w:r>
        <w:rPr>
          <w:rFonts w:ascii="Calibri" w:cs="Calibri" w:eastAsia="Calibri" w:hAnsi="Calibri"/>
          <w:b w:val="false"/>
          <w:bCs w:val="false"/>
          <w:i w:val="false"/>
          <w:iCs w:val="false"/>
          <w:color w:val="1A1A1A"/>
          <w:sz w:val="21"/>
          <w:szCs w:val="21"/>
        </w:rPr>
        <w:t xml:space="preserve">These Procedures apply to every entity listed below. Separate EINs do not create separate ethics codes. They create separate tax and contracting files, which this instrument is designed to keep clean.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400"/>
        <w:gridCol w:w="3200"/>
        <w:gridCol w:w="2200"/>
        <w:gridCol w:w="3280"/>
      </w:tblGrid>
      <w:tr>
        <w:trPr>
          <w:tblHeader/>
        </w:trPr>
        <w:tc>
          <w:tcPr>
            <w:tcW w:type="dxa" w:w="1400"/>
            <w:tcBorders>
              <w:top w:val="single" w:color="D4CBB8" w:sz="4"/>
              <w:left w:val="single" w:color="D4CBB8" w:sz="4"/>
              <w:bottom w:val="single" w:color="D4CBB8" w:sz="4"/>
              <w:right w:val="single" w:color="D4CBB8" w:sz="4"/>
            </w:tcBorders>
            <w:shd w:fill="1B365D" w:val="clear"/>
            <w:tcMar>
              <w:top w:type="dxa" w:w="60"/>
              <w:left w:type="dxa" w:w="80"/>
              <w:bottom w:type="dxa" w:w="60"/>
              <w:right w:type="dxa" w:w="80"/>
            </w:tcMar>
            <w:vAlign w:val="center"/>
          </w:tcPr>
          <w:p>
            <w:pPr>
              <w:jc w:val="left"/>
            </w:pPr>
            <w:r>
              <w:rPr>
                <w:rFonts w:ascii="Calibri" w:cs="Calibri" w:eastAsia="Calibri" w:hAnsi="Calibri"/>
                <w:b/>
                <w:bCs/>
                <w:i w:val="false"/>
                <w:iCs w:val="false"/>
                <w:color w:val="FFFFFF"/>
                <w:sz w:val="16"/>
                <w:szCs w:val="16"/>
              </w:rPr>
              <w:t xml:space="preserve">Code</w:t>
            </w:r>
          </w:p>
        </w:tc>
        <w:tc>
          <w:tcPr>
            <w:tcW w:type="dxa" w:w="3200"/>
            <w:tcBorders>
              <w:top w:val="single" w:color="D4CBB8" w:sz="4"/>
              <w:left w:val="single" w:color="D4CBB8" w:sz="4"/>
              <w:bottom w:val="single" w:color="D4CBB8" w:sz="4"/>
              <w:right w:val="single" w:color="D4CBB8" w:sz="4"/>
            </w:tcBorders>
            <w:shd w:fill="1B365D" w:val="clear"/>
            <w:tcMar>
              <w:top w:type="dxa" w:w="60"/>
              <w:left w:type="dxa" w:w="80"/>
              <w:bottom w:type="dxa" w:w="60"/>
              <w:right w:type="dxa" w:w="80"/>
            </w:tcMar>
            <w:vAlign w:val="center"/>
          </w:tcPr>
          <w:p>
            <w:pPr>
              <w:jc w:val="left"/>
            </w:pPr>
            <w:r>
              <w:rPr>
                <w:rFonts w:ascii="Calibri" w:cs="Calibri" w:eastAsia="Calibri" w:hAnsi="Calibri"/>
                <w:b/>
                <w:bCs/>
                <w:i w:val="false"/>
                <w:iCs w:val="false"/>
                <w:color w:val="FFFFFF"/>
                <w:sz w:val="16"/>
                <w:szCs w:val="16"/>
              </w:rPr>
              <w:t xml:space="preserve">Entity</w:t>
            </w:r>
          </w:p>
        </w:tc>
        <w:tc>
          <w:tcPr>
            <w:tcW w:type="dxa" w:w="2200"/>
            <w:tcBorders>
              <w:top w:val="single" w:color="D4CBB8" w:sz="4"/>
              <w:left w:val="single" w:color="D4CBB8" w:sz="4"/>
              <w:bottom w:val="single" w:color="D4CBB8" w:sz="4"/>
              <w:right w:val="single" w:color="D4CBB8" w:sz="4"/>
            </w:tcBorders>
            <w:shd w:fill="1B365D" w:val="clear"/>
            <w:tcMar>
              <w:top w:type="dxa" w:w="60"/>
              <w:left w:type="dxa" w:w="80"/>
              <w:bottom w:type="dxa" w:w="60"/>
              <w:right w:type="dxa" w:w="80"/>
            </w:tcMar>
            <w:vAlign w:val="center"/>
          </w:tcPr>
          <w:p>
            <w:pPr>
              <w:jc w:val="left"/>
            </w:pPr>
            <w:r>
              <w:rPr>
                <w:rFonts w:ascii="Calibri" w:cs="Calibri" w:eastAsia="Calibri" w:hAnsi="Calibri"/>
                <w:b/>
                <w:bCs/>
                <w:i w:val="false"/>
                <w:iCs w:val="false"/>
                <w:color w:val="FFFFFF"/>
                <w:sz w:val="16"/>
                <w:szCs w:val="16"/>
              </w:rPr>
              <w:t xml:space="preserve">EIN status</w:t>
            </w:r>
          </w:p>
        </w:tc>
        <w:tc>
          <w:tcPr>
            <w:tcW w:type="dxa" w:w="3280"/>
            <w:tcBorders>
              <w:top w:val="single" w:color="D4CBB8" w:sz="4"/>
              <w:left w:val="single" w:color="D4CBB8" w:sz="4"/>
              <w:bottom w:val="single" w:color="D4CBB8" w:sz="4"/>
              <w:right w:val="single" w:color="D4CBB8" w:sz="4"/>
            </w:tcBorders>
            <w:shd w:fill="1B365D" w:val="clear"/>
            <w:tcMar>
              <w:top w:type="dxa" w:w="60"/>
              <w:left w:type="dxa" w:w="80"/>
              <w:bottom w:type="dxa" w:w="60"/>
              <w:right w:type="dxa" w:w="80"/>
            </w:tcMar>
            <w:vAlign w:val="center"/>
          </w:tcPr>
          <w:p>
            <w:pPr>
              <w:jc w:val="left"/>
            </w:pPr>
            <w:r>
              <w:rPr>
                <w:rFonts w:ascii="Calibri" w:cs="Calibri" w:eastAsia="Calibri" w:hAnsi="Calibri"/>
                <w:b/>
                <w:bCs/>
                <w:i w:val="false"/>
                <w:iCs w:val="false"/>
                <w:color w:val="FFFFFF"/>
                <w:sz w:val="16"/>
                <w:szCs w:val="16"/>
              </w:rPr>
              <w:t xml:space="preserve">Heightened COI focus</w:t>
            </w:r>
          </w:p>
        </w:tc>
      </w:tr>
      <w:tr>
        <w:tc>
          <w:tcPr>
            <w:tcW w:type="dxa" w:w="14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BH</w:t>
            </w:r>
          </w:p>
        </w:tc>
        <w:tc>
          <w:tcPr>
            <w:tcW w:type="dxa" w:w="32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Blevins Holdings LLC</w:t>
            </w:r>
          </w:p>
        </w:tc>
        <w:tc>
          <w:tcPr>
            <w:tcW w:type="dxa" w:w="22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EIN — Form 1120-S</w:t>
            </w:r>
          </w:p>
        </w:tc>
        <w:tc>
          <w:tcPr>
            <w:tcW w:type="dxa" w:w="3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Shareholder dealings; officer compensation; card / draw vs expense</w:t>
            </w:r>
          </w:p>
        </w:tc>
      </w:tr>
      <w:tr>
        <w:tc>
          <w:tcPr>
            <w:tcW w:type="dxa" w:w="14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BDEF</w:t>
            </w:r>
          </w:p>
        </w:tc>
        <w:tc>
          <w:tcPr>
            <w:tcW w:type="dxa" w:w="32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Blevins Defense LLC</w:t>
            </w:r>
          </w:p>
        </w:tc>
        <w:tc>
          <w:tcPr>
            <w:tcW w:type="dxa" w:w="22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Separate EIN</w:t>
            </w:r>
          </w:p>
        </w:tc>
        <w:tc>
          <w:tcPr>
            <w:tcW w:type="dxa" w:w="3280"/>
            <w:tcBorders>
              <w:top w:val="single" w:color="D4CBB8" w:sz="4"/>
              <w:left w:val="single" w:color="D4CBB8" w:sz="4"/>
              <w:bottom w:val="single" w:color="D4CBB8" w:sz="4"/>
              <w:right w:val="single" w:color="D4CBB8" w:sz="4"/>
            </w:tcBorders>
            <w:shd w:fill="F8E8E8"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FAR/DFARS OCI; OCI bid/proposal; classified access; affiliate firewalls</w:t>
            </w:r>
          </w:p>
        </w:tc>
      </w:tr>
      <w:tr>
        <w:tc>
          <w:tcPr>
            <w:tcW w:type="dxa" w:w="14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BEG</w:t>
            </w:r>
          </w:p>
        </w:tc>
        <w:tc>
          <w:tcPr>
            <w:tcW w:type="dxa" w:w="32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Blevins Enterprise Group</w:t>
            </w:r>
          </w:p>
        </w:tc>
        <w:tc>
          <w:tcPr>
            <w:tcW w:type="dxa" w:w="22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Separate EIN</w:t>
            </w:r>
          </w:p>
        </w:tc>
        <w:tc>
          <w:tcPr>
            <w:tcW w:type="dxa" w:w="3280"/>
            <w:tcBorders>
              <w:top w:val="single" w:color="D4CBB8" w:sz="4"/>
              <w:left w:val="single" w:color="D4CBB8" w:sz="4"/>
              <w:bottom w:val="single" w:color="D4CBB8" w:sz="4"/>
              <w:right w:val="single" w:color="D4CBB8" w:sz="4"/>
            </w:tcBorders>
            <w:shd w:fill="F8E8E8"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Intercompany services; overlapping counterparties with Holdings</w:t>
            </w:r>
          </w:p>
        </w:tc>
      </w:tr>
      <w:tr>
        <w:tc>
          <w:tcPr>
            <w:tcW w:type="dxa" w:w="14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FND</w:t>
            </w:r>
          </w:p>
        </w:tc>
        <w:tc>
          <w:tcPr>
            <w:tcW w:type="dxa" w:w="32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Blevins Family Foundation</w:t>
            </w:r>
          </w:p>
        </w:tc>
        <w:tc>
          <w:tcPr>
            <w:tcW w:type="dxa" w:w="22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Separate EIN — Form 990</w:t>
            </w:r>
          </w:p>
        </w:tc>
        <w:tc>
          <w:tcPr>
            <w:tcW w:type="dxa" w:w="3280"/>
            <w:tcBorders>
              <w:top w:val="single" w:color="D4CBB8" w:sz="4"/>
              <w:left w:val="single" w:color="D4CBB8" w:sz="4"/>
              <w:bottom w:val="single" w:color="D4CBB8" w:sz="4"/>
              <w:right w:val="single" w:color="D4CBB8" w:sz="4"/>
            </w:tcBorders>
            <w:shd w:fill="F8E8E8"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4958 excess benefit; grants to insiders; use of Holdings cash</w:t>
            </w:r>
          </w:p>
        </w:tc>
      </w:tr>
      <w:tr>
        <w:tc>
          <w:tcPr>
            <w:tcW w:type="dxa" w:w="14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Other</w:t>
            </w:r>
          </w:p>
        </w:tc>
        <w:tc>
          <w:tcPr>
            <w:tcW w:type="dxa" w:w="32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Health, Energy Systems, Data, RES, BRX, and any future affiliate</w:t>
            </w:r>
          </w:p>
        </w:tc>
        <w:tc>
          <w:tcPr>
            <w:tcW w:type="dxa" w:w="22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Class on Holdings until an EIN is produced</w:t>
            </w:r>
          </w:p>
        </w:tc>
        <w:tc>
          <w:tcPr>
            <w:tcW w:type="dxa" w:w="3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Vendor overlap; research / clinical data; lease and CAM deals</w:t>
            </w:r>
          </w:p>
        </w:tc>
      </w:tr>
    </w:tbl>
    <w:p>
      <w:pPr>
        <w:spacing w:after="80" w:before="80"/>
      </w:pPr>
      <w:r>
        <w:rPr>
          <w:rFonts w:ascii="Calibri" w:cs="Calibri" w:eastAsia="Calibri" w:hAnsi="Calibri"/>
          <w:b w:val="false"/>
          <w:bCs w:val="false"/>
          <w:i/>
          <w:iCs/>
          <w:color w:val="5C6570"/>
          <w:sz w:val="18"/>
          <w:szCs w:val="18"/>
        </w:rPr>
        <w:t xml:space="preserve">Red-shaded rows are separate taxpayers. Their conflicts are still Company conflicts. Their books are not Holdings books.</w:t>
      </w:r>
    </w:p>
    <w:p>
      <w:pPr>
        <w:pStyle w:val="Heading1"/>
        <w:pBdr>
          <w:bottom w:val="single" w:color="1B365D" w:sz="12" w:space="4"/>
        </w:pBdr>
        <w:spacing w:after="140" w:before="280"/>
      </w:pPr>
      <w:r>
        <w:rPr>
          <w:rFonts w:ascii="Calibri" w:cs="Calibri" w:eastAsia="Calibri" w:hAnsi="Calibri"/>
          <w:b/>
          <w:bCs/>
          <w:color w:val="1B365D"/>
          <w:sz w:val="28"/>
          <w:szCs w:val="28"/>
        </w:rPr>
        <w:t xml:space="preserve">IV. Standards of Conduct</w:t>
      </w:r>
    </w:p>
    <w:p>
      <w:pPr>
        <w:pStyle w:val="Heading2"/>
        <w:spacing w:after="80" w:before="220"/>
      </w:pPr>
      <w:r>
        <w:rPr>
          <w:rFonts w:ascii="Calibri" w:cs="Calibri" w:eastAsia="Calibri" w:hAnsi="Calibri"/>
          <w:b/>
          <w:bCs/>
          <w:color w:val="1B365D"/>
          <w:sz w:val="24"/>
          <w:szCs w:val="24"/>
        </w:rPr>
        <w:t xml:space="preserve">A. Duty</w:t>
      </w:r>
    </w:p>
    <w:p>
      <w:pPr>
        <w:spacing w:after="140" w:line="276"/>
      </w:pPr>
      <w:r>
        <w:rPr>
          <w:rFonts w:ascii="Calibri" w:cs="Calibri" w:eastAsia="Calibri" w:hAnsi="Calibri"/>
          <w:b w:val="false"/>
          <w:bCs w:val="false"/>
          <w:i w:val="false"/>
          <w:iCs w:val="false"/>
          <w:color w:val="1A1A1A"/>
          <w:sz w:val="21"/>
          <w:szCs w:val="21"/>
        </w:rPr>
        <w:t xml:space="preserve">Every Covered Person shall act in the best interests of the entity they serve, shall not use Company position or information for personal advantage, and shall not take a Corporate Opportunity without written clearance under Section VIII.</w:t>
      </w:r>
    </w:p>
    <w:p>
      <w:pPr>
        <w:pStyle w:val="Heading2"/>
        <w:spacing w:after="80" w:before="220"/>
      </w:pPr>
      <w:r>
        <w:rPr>
          <w:rFonts w:ascii="Calibri" w:cs="Calibri" w:eastAsia="Calibri" w:hAnsi="Calibri"/>
          <w:b/>
          <w:bCs/>
          <w:color w:val="1B365D"/>
          <w:sz w:val="24"/>
          <w:szCs w:val="24"/>
        </w:rPr>
        <w:t xml:space="preserve">B. Mandatory disclosure</w:t>
      </w:r>
    </w:p>
    <w:p>
      <w:pPr>
        <w:spacing w:after="140" w:line="276"/>
      </w:pPr>
      <w:r>
        <w:rPr>
          <w:rFonts w:ascii="Calibri" w:cs="Calibri" w:eastAsia="Calibri" w:hAnsi="Calibri"/>
          <w:b w:val="false"/>
          <w:bCs w:val="false"/>
          <w:i w:val="false"/>
          <w:iCs w:val="false"/>
          <w:color w:val="1A1A1A"/>
          <w:sz w:val="21"/>
          <w:szCs w:val="21"/>
        </w:rPr>
        <w:t xml:space="preserve">A Covered Person who knows, or reasonably should know, of an actual, potential, or apparent conflict shall disclose it before acting. Silence is not a defense. Disclosure after the fact is mitigation, not compliance.</w:t>
      </w:r>
    </w:p>
    <w:p>
      <w:pPr>
        <w:pStyle w:val="Heading2"/>
        <w:spacing w:after="80" w:before="220"/>
      </w:pPr>
      <w:r>
        <w:rPr>
          <w:rFonts w:ascii="Calibri" w:cs="Calibri" w:eastAsia="Calibri" w:hAnsi="Calibri"/>
          <w:b/>
          <w:bCs/>
          <w:color w:val="1B365D"/>
          <w:sz w:val="24"/>
          <w:szCs w:val="24"/>
        </w:rPr>
        <w:t xml:space="preserve">C. No self-approval</w:t>
      </w:r>
    </w:p>
    <w:p>
      <w:pPr>
        <w:spacing w:after="140" w:line="276"/>
      </w:pPr>
      <w:r>
        <w:rPr>
          <w:rFonts w:ascii="Calibri" w:cs="Calibri" w:eastAsia="Calibri" w:hAnsi="Calibri"/>
          <w:b w:val="false"/>
          <w:bCs w:val="false"/>
          <w:i w:val="false"/>
          <w:iCs w:val="false"/>
          <w:color w:val="1A1A1A"/>
          <w:sz w:val="21"/>
          <w:szCs w:val="21"/>
        </w:rPr>
        <w:t xml:space="preserve">No Covered Person may approve their own compensation, their own Related-Party Transaction, a grant or contract that benefits them or a Family Member, or a Management Plan that names them. Recusal is required. The recusal is recorded on Form C.</w:t>
      </w:r>
    </w:p>
    <w:p>
      <w:pPr>
        <w:pStyle w:val="Heading2"/>
        <w:spacing w:after="80" w:before="220"/>
      </w:pPr>
      <w:r>
        <w:rPr>
          <w:rFonts w:ascii="Calibri" w:cs="Calibri" w:eastAsia="Calibri" w:hAnsi="Calibri"/>
          <w:b/>
          <w:bCs/>
          <w:color w:val="1B365D"/>
          <w:sz w:val="24"/>
          <w:szCs w:val="24"/>
        </w:rPr>
        <w:t xml:space="preserve">D. Appearance</w:t>
      </w:r>
    </w:p>
    <w:p>
      <w:pPr>
        <w:spacing w:after="140" w:line="276"/>
      </w:pPr>
      <w:r>
        <w:rPr>
          <w:rFonts w:ascii="Calibri" w:cs="Calibri" w:eastAsia="Calibri" w:hAnsi="Calibri"/>
          <w:b w:val="false"/>
          <w:bCs w:val="false"/>
          <w:i w:val="false"/>
          <w:iCs w:val="false"/>
          <w:color w:val="1A1A1A"/>
          <w:sz w:val="21"/>
          <w:szCs w:val="21"/>
        </w:rPr>
        <w:t xml:space="preserve">A relationship that would cause a reasonable third party — a contracting officer, an auditor, a Foundation regulator, or a shareholder — to question the Covered Person’s objectivity is treated as a conflict until cleared.</w:t>
      </w:r>
    </w:p>
    <w:p>
      <w:pPr>
        <w:pStyle w:val="Heading1"/>
        <w:pBdr>
          <w:bottom w:val="single" w:color="1B365D" w:sz="12" w:space="4"/>
        </w:pBdr>
        <w:spacing w:after="140" w:before="280"/>
      </w:pPr>
      <w:r>
        <w:rPr>
          <w:rFonts w:ascii="Calibri" w:cs="Calibri" w:eastAsia="Calibri" w:hAnsi="Calibri"/>
          <w:b/>
          <w:bCs/>
          <w:color w:val="1B365D"/>
          <w:sz w:val="28"/>
          <w:szCs w:val="28"/>
        </w:rPr>
        <w:t xml:space="preserve">V. Categories of Conflict</w:t>
      </w:r>
    </w:p>
    <w:p>
      <w:pPr>
        <w:pStyle w:val="Heading2"/>
        <w:spacing w:after="80" w:before="220"/>
      </w:pPr>
      <w:r>
        <w:rPr>
          <w:rFonts w:ascii="Calibri" w:cs="Calibri" w:eastAsia="Calibri" w:hAnsi="Calibri"/>
          <w:b/>
          <w:bCs/>
          <w:color w:val="1B365D"/>
          <w:sz w:val="24"/>
          <w:szCs w:val="24"/>
        </w:rPr>
        <w:t xml:space="preserve">A. Financial and ownership interests</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Ownership or options in a customer, competitor, vendor, subcontractor, grantee, or joint-venture partner.</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A loan, guarantee, or credit arrangement with any of the above, or with a Company affiliate, other than an ordinary-course bank product on market terms.</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A side letter, finder arrangement, or success fee tied to a Company transaction.</w:t>
      </w:r>
    </w:p>
    <w:p>
      <w:pPr>
        <w:pStyle w:val="Heading2"/>
        <w:spacing w:after="80" w:before="220"/>
      </w:pPr>
      <w:r>
        <w:rPr>
          <w:rFonts w:ascii="Calibri" w:cs="Calibri" w:eastAsia="Calibri" w:hAnsi="Calibri"/>
          <w:b/>
          <w:bCs/>
          <w:color w:val="1B365D"/>
          <w:sz w:val="24"/>
          <w:szCs w:val="24"/>
        </w:rPr>
        <w:t xml:space="preserve">B. Outside positions</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Officer, director, manager, general partner, or key employee of any entity that does or seeks to do business with the Company, competes with the Company, or is a federal, state, or prime-contract counterparty.</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An outside consulting practice that uses Company time, systems, or non-public information.</w:t>
      </w:r>
    </w:p>
    <w:p>
      <w:pPr>
        <w:pStyle w:val="Heading2"/>
        <w:spacing w:after="80" w:before="220"/>
      </w:pPr>
      <w:r>
        <w:rPr>
          <w:rFonts w:ascii="Calibri" w:cs="Calibri" w:eastAsia="Calibri" w:hAnsi="Calibri"/>
          <w:b/>
          <w:bCs/>
          <w:color w:val="1B365D"/>
          <w:sz w:val="24"/>
          <w:szCs w:val="24"/>
        </w:rPr>
        <w:t xml:space="preserve">C. Family and household</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A Family Member employed by, contracting with, or owning a Financial Interest in a Company counterparty.</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A Family Member in the Covered Person’s reporting line. Direct supervision of a Family Member is prohibited without a Board-approved Management Plan.</w:t>
      </w:r>
    </w:p>
    <w:p>
      <w:pPr>
        <w:pStyle w:val="Heading2"/>
        <w:spacing w:after="80" w:before="220"/>
      </w:pPr>
      <w:r>
        <w:rPr>
          <w:rFonts w:ascii="Calibri" w:cs="Calibri" w:eastAsia="Calibri" w:hAnsi="Calibri"/>
          <w:b/>
          <w:bCs/>
          <w:color w:val="1B365D"/>
          <w:sz w:val="24"/>
          <w:szCs w:val="24"/>
        </w:rPr>
        <w:t xml:space="preserve">D. Intercompany and multi-EIN dealings</w:t>
      </w:r>
    </w:p>
    <w:p>
      <w:pPr>
        <w:spacing w:after="140" w:line="276"/>
      </w:pPr>
      <w:r>
        <w:rPr>
          <w:rFonts w:ascii="Calibri" w:cs="Calibri" w:eastAsia="Calibri" w:hAnsi="Calibri"/>
          <w:b w:val="false"/>
          <w:bCs w:val="false"/>
          <w:i w:val="false"/>
          <w:iCs w:val="false"/>
          <w:color w:val="1A1A1A"/>
          <w:sz w:val="21"/>
          <w:szCs w:val="21"/>
        </w:rPr>
        <w:t xml:space="preserve">Transfers among Holdings, BDEF, BEG, the Foundation, and any other EIN entity are Related-Party Transactions even when wholly internal. They shall be documented at arm’s-length terms, posted to the intercompany accounts (1120 / 2010 / 1810 / 2800 / 1800 / 4910), and shall not be recorded as third-party revenue of the receiving entity without CCO and Controller concurrence.</w:t>
      </w:r>
    </w:p>
    <w:p>
      <w:pPr>
        <w:spacing w:after="140" w:line="276"/>
      </w:pPr>
      <w:r>
        <w:rPr>
          <w:rFonts w:ascii="Calibri" w:cs="Calibri" w:eastAsia="Calibri" w:hAnsi="Calibri"/>
          <w:b w:val="false"/>
          <w:bCs w:val="false"/>
          <w:i w:val="false"/>
          <w:iCs w:val="false"/>
          <w:color w:val="1A1A1A"/>
          <w:sz w:val="21"/>
          <w:szCs w:val="21"/>
        </w:rPr>
        <w:t xml:space="preserve">Cash of one EIN that lands on Wells Fargo x5208 (Holdings) is not the receiving entity’s operating revenue. It is intercompany, a contribution, a distribution, or a payable — and it is a COI record if a Covered Person directed the path of the cash for personal convenience.</w:t>
      </w:r>
    </w:p>
    <w:p>
      <w:pPr>
        <w:pStyle w:val="Heading2"/>
        <w:spacing w:after="80" w:before="220"/>
      </w:pPr>
      <w:r>
        <w:rPr>
          <w:rFonts w:ascii="Calibri" w:cs="Calibri" w:eastAsia="Calibri" w:hAnsi="Calibri"/>
          <w:b/>
          <w:bCs/>
          <w:color w:val="1B365D"/>
          <w:sz w:val="24"/>
          <w:szCs w:val="24"/>
        </w:rPr>
        <w:t xml:space="preserve">E. Government contracting — BDEF and any affiliate touching federal work</w:t>
      </w:r>
    </w:p>
    <w:p>
      <w:pPr>
        <w:spacing w:after="140" w:line="276"/>
      </w:pPr>
      <w:r>
        <w:rPr>
          <w:rFonts w:ascii="Calibri" w:cs="Calibri" w:eastAsia="Calibri" w:hAnsi="Calibri"/>
          <w:b w:val="false"/>
          <w:bCs w:val="false"/>
          <w:i w:val="false"/>
          <w:iCs w:val="false"/>
          <w:color w:val="1A1A1A"/>
          <w:sz w:val="21"/>
          <w:szCs w:val="21"/>
        </w:rPr>
        <w:t xml:space="preserve">BDEF, and any affiliate that supports a BDEF bid, program, or facility, shall treat the following as presumptive OCIs requiring Form B and a Management Plan before proposal submission or kickoff:</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Preparing specifications, statements of work, or evaluation criteria for a procurement the Company later bids.</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Access to non-public government or competitor information through one affiliate that would benefit another affiliate’s bid or performance.</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Judging or overseeing work of a competitor while a sister entity competes against that competitor.</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A Covered Person who is a current or former government employee subject to 18 U.S.C. § 207 or FAR 3.104 post-employment restrictions.</w:t>
      </w:r>
    </w:p>
    <w:p>
      <w:pPr>
        <w:spacing w:after="140" w:line="276"/>
      </w:pPr>
      <w:r>
        <w:rPr>
          <w:rFonts w:ascii="Calibri" w:cs="Calibri" w:eastAsia="Calibri" w:hAnsi="Calibri"/>
          <w:b w:val="false"/>
          <w:bCs w:val="false"/>
          <w:i w:val="false"/>
          <w:iCs w:val="false"/>
          <w:color w:val="1A1A1A"/>
          <w:sz w:val="21"/>
          <w:szCs w:val="21"/>
        </w:rPr>
        <w:t xml:space="preserve">Information barriers between BDEF and other affiliates are mandatory where an OCI Management Plan so requires. Shared bookkeepers, shared BD staff, and shared drive access are OCI facts. They are not administrative trivia.</w:t>
      </w:r>
    </w:p>
    <w:p>
      <w:pPr>
        <w:pStyle w:val="Heading2"/>
        <w:spacing w:after="80" w:before="220"/>
      </w:pPr>
      <w:r>
        <w:rPr>
          <w:rFonts w:ascii="Calibri" w:cs="Calibri" w:eastAsia="Calibri" w:hAnsi="Calibri"/>
          <w:b/>
          <w:bCs/>
          <w:color w:val="1B365D"/>
          <w:sz w:val="24"/>
          <w:szCs w:val="24"/>
        </w:rPr>
        <w:t xml:space="preserve">F. Foundation and philanthropy</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A grant, scholarship, vendor payment, or expense reimbursement that benefits a Disqualified Person, a Family Member, or a business they control is an excess-benefit inquiry. It does not proceed without contemporaneous Form B, comparability data, and Foundation-board approval with the interested person recused.</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Holdings 6290 is a contribution by the S corporation to the Foundation. It is not a vehicle for the Foundation to pay Holdings vendors or a Covered Person’s personal obligations.</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Foundation activity shall not clear on Holdings x5208 except as a documented contribution or reimbursement under a written services agreement.</w:t>
      </w:r>
    </w:p>
    <w:p>
      <w:pPr>
        <w:pStyle w:val="Heading2"/>
        <w:spacing w:after="80" w:before="220"/>
      </w:pPr>
      <w:r>
        <w:rPr>
          <w:rFonts w:ascii="Calibri" w:cs="Calibri" w:eastAsia="Calibri" w:hAnsi="Calibri"/>
          <w:b/>
          <w:bCs/>
          <w:color w:val="1B365D"/>
          <w:sz w:val="24"/>
          <w:szCs w:val="24"/>
        </w:rPr>
        <w:t xml:space="preserve">G. Corporate opportunities and investments</w:t>
      </w:r>
    </w:p>
    <w:p>
      <w:pPr>
        <w:spacing w:after="140" w:line="276"/>
      </w:pPr>
      <w:r>
        <w:rPr>
          <w:rFonts w:ascii="Calibri" w:cs="Calibri" w:eastAsia="Calibri" w:hAnsi="Calibri"/>
          <w:b w:val="false"/>
          <w:bCs w:val="false"/>
          <w:i w:val="false"/>
          <w:iCs w:val="false"/>
          <w:color w:val="1A1A1A"/>
          <w:sz w:val="21"/>
          <w:szCs w:val="21"/>
        </w:rPr>
        <w:t xml:space="preserve">A Covered Person who becomes aware of an opportunity within the Company’s lines shall offer it in writing to the General Counsel before pursuing it personally or through another entity, including BEG or a newly formed vehicle.</w:t>
      </w:r>
    </w:p>
    <w:p>
      <w:pPr>
        <w:pStyle w:val="Heading2"/>
        <w:spacing w:after="80" w:before="220"/>
      </w:pPr>
      <w:r>
        <w:rPr>
          <w:rFonts w:ascii="Calibri" w:cs="Calibri" w:eastAsia="Calibri" w:hAnsi="Calibri"/>
          <w:b/>
          <w:bCs/>
          <w:color w:val="1B365D"/>
          <w:sz w:val="24"/>
          <w:szCs w:val="24"/>
        </w:rPr>
        <w:t xml:space="preserve">H. Gifts, meals, travel, and entertainment</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No Covered Person may solicit a gift from a Company counterparty.</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A gift, meal, or entertainment above $75 fair value from a single source in a calendar year, or any gift of cash or cash-equivalent, requires Form D logging. Above $250 requires CCO pre-clearance.</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Government employees: follow the other party’s rules. If the counterparty is a federal employee, the default is no gift.</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Entertainment is not deductible and is not a business development workaround. Personal meals and retail charged to a Company card are shareholder distributions (GL 3210) or reimbursable personal amounts, not 6130.</w:t>
      </w:r>
    </w:p>
    <w:p>
      <w:pPr>
        <w:pStyle w:val="Heading2"/>
        <w:spacing w:after="80" w:before="220"/>
      </w:pPr>
      <w:r>
        <w:rPr>
          <w:rFonts w:ascii="Calibri" w:cs="Calibri" w:eastAsia="Calibri" w:hAnsi="Calibri"/>
          <w:b/>
          <w:bCs/>
          <w:color w:val="1B365D"/>
          <w:sz w:val="24"/>
          <w:szCs w:val="24"/>
        </w:rPr>
        <w:t xml:space="preserve">I. Use of Company assets and information</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Company cards, aircraft, vehicles, Turo or fleet units, housing, and staff time used for personal purposes are conflicts unless documented as compensation or a 3210 distribution and approved.</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Non-public information — pricing, bids, clinical data, classified or CUI material, donor files, shareholder matters — is not for personal trading, personal negotiating, or outside clients.</w:t>
      </w:r>
    </w:p>
    <w:p>
      <w:pPr>
        <w:pStyle w:val="Heading1"/>
        <w:pBdr>
          <w:bottom w:val="single" w:color="1B365D" w:sz="12" w:space="4"/>
        </w:pBdr>
        <w:spacing w:after="140" w:before="280"/>
      </w:pPr>
      <w:r>
        <w:rPr>
          <w:rFonts w:ascii="Calibri" w:cs="Calibri" w:eastAsia="Calibri" w:hAnsi="Calibri"/>
          <w:b/>
          <w:bCs/>
          <w:color w:val="1B365D"/>
          <w:sz w:val="28"/>
          <w:szCs w:val="28"/>
        </w:rPr>
        <w:t xml:space="preserve">VI. Disclosure Procedures</w:t>
      </w:r>
    </w:p>
    <w:p>
      <w:pPr>
        <w:pStyle w:val="Heading2"/>
        <w:spacing w:after="80" w:before="220"/>
      </w:pPr>
      <w:r>
        <w:rPr>
          <w:rFonts w:ascii="Calibri" w:cs="Calibri" w:eastAsia="Calibri" w:hAnsi="Calibri"/>
          <w:b/>
          <w:bCs/>
          <w:color w:val="1B365D"/>
          <w:sz w:val="24"/>
          <w:szCs w:val="24"/>
        </w:rPr>
        <w:t xml:space="preserve">A. Annual disclosure — Form A</w:t>
      </w:r>
    </w:p>
    <w:p>
      <w:pPr>
        <w:spacing w:after="140" w:line="276"/>
      </w:pPr>
      <w:r>
        <w:rPr>
          <w:rFonts w:ascii="Calibri" w:cs="Calibri" w:eastAsia="Calibri" w:hAnsi="Calibri"/>
          <w:b w:val="false"/>
          <w:bCs w:val="false"/>
          <w:i w:val="false"/>
          <w:iCs w:val="false"/>
          <w:color w:val="1A1A1A"/>
          <w:sz w:val="21"/>
          <w:szCs w:val="21"/>
        </w:rPr>
        <w:t xml:space="preserve">Every Covered Person shall complete Form A (Annual Conflict Disclosure) within 30 days of becoming covered and by January 31 of each year. Governors and officers shall also update Form A within 15 days after any Board or committee election and before any meeting at which they will vote.</w:t>
      </w:r>
    </w:p>
    <w:p>
      <w:pPr>
        <w:spacing w:after="140" w:line="276"/>
      </w:pPr>
      <w:r>
        <w:rPr>
          <w:rFonts w:ascii="Calibri" w:cs="Calibri" w:eastAsia="Calibri" w:hAnsi="Calibri"/>
          <w:b w:val="false"/>
          <w:bCs w:val="false"/>
          <w:i w:val="false"/>
          <w:iCs w:val="false"/>
          <w:color w:val="1A1A1A"/>
          <w:sz w:val="21"/>
          <w:szCs w:val="21"/>
        </w:rPr>
        <w:t xml:space="preserve">Form A requires: outside positions; Financial Interests in counterparties; Family Member employment or ownership overlapping the Company; gifts above the log threshold; any pending RPT; and a representation that the person has read this instrument.</w:t>
      </w:r>
    </w:p>
    <w:p>
      <w:pPr>
        <w:pStyle w:val="Heading2"/>
        <w:spacing w:after="80" w:before="220"/>
      </w:pPr>
      <w:r>
        <w:rPr>
          <w:rFonts w:ascii="Calibri" w:cs="Calibri" w:eastAsia="Calibri" w:hAnsi="Calibri"/>
          <w:b/>
          <w:bCs/>
          <w:color w:val="1B365D"/>
          <w:sz w:val="24"/>
          <w:szCs w:val="24"/>
        </w:rPr>
        <w:t xml:space="preserve">B. Transactional disclosure — Form B</w:t>
      </w:r>
    </w:p>
    <w:p>
      <w:pPr>
        <w:spacing w:after="140" w:line="276"/>
      </w:pPr>
      <w:r>
        <w:rPr>
          <w:rFonts w:ascii="Calibri" w:cs="Calibri" w:eastAsia="Calibri" w:hAnsi="Calibri"/>
          <w:b w:val="false"/>
          <w:bCs w:val="false"/>
          <w:i w:val="false"/>
          <w:iCs w:val="false"/>
          <w:color w:val="1A1A1A"/>
          <w:sz w:val="21"/>
          <w:szCs w:val="21"/>
        </w:rPr>
        <w:t xml:space="preserve">Form B is required before any of the following, regardless of the annual form:</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An RPT of $5,000 or more, or a series of related RPTs that will exceed $5,000 in a fiscal year.</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Any RPT involving BDEF, BEG, or the Foundation, at any dollar amount.</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Any matter that presents an OCI for federal work.</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Hiring, promoting, or contracting with a Family Member.</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Taking or redirecting a Corporate Opportunity.</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A Foundation grant or payment that may benefit a Disqualified Person.</w:t>
      </w:r>
    </w:p>
    <w:p>
      <w:pPr>
        <w:spacing w:after="140" w:line="276"/>
      </w:pPr>
      <w:r>
        <w:rPr>
          <w:rFonts w:ascii="Calibri" w:cs="Calibri" w:eastAsia="Calibri" w:hAnsi="Calibri"/>
          <w:b w:val="false"/>
          <w:bCs w:val="false"/>
          <w:i w:val="false"/>
          <w:iCs w:val="false"/>
          <w:color w:val="1A1A1A"/>
          <w:sz w:val="21"/>
          <w:szCs w:val="21"/>
        </w:rPr>
        <w:t xml:space="preserve">Form B is filed with the Chief Compliance Officer, copied to General Counsel. Work on the underlying transaction stops until the CCO issues a written determination: Clear, Conditional (Management Plan), or Denied.</w:t>
      </w:r>
    </w:p>
    <w:p>
      <w:pPr>
        <w:pStyle w:val="Heading2"/>
        <w:spacing w:after="80" w:before="220"/>
      </w:pPr>
      <w:r>
        <w:rPr>
          <w:rFonts w:ascii="Calibri" w:cs="Calibri" w:eastAsia="Calibri" w:hAnsi="Calibri"/>
          <w:b/>
          <w:bCs/>
          <w:color w:val="1B365D"/>
          <w:sz w:val="24"/>
          <w:szCs w:val="24"/>
        </w:rPr>
        <w:t xml:space="preserve">C. Meeting-level disclosure</w:t>
      </w:r>
    </w:p>
    <w:p>
      <w:pPr>
        <w:spacing w:after="140" w:line="276"/>
      </w:pPr>
      <w:r>
        <w:rPr>
          <w:rFonts w:ascii="Calibri" w:cs="Calibri" w:eastAsia="Calibri" w:hAnsi="Calibri"/>
          <w:b w:val="false"/>
          <w:bCs w:val="false"/>
          <w:i w:val="false"/>
          <w:iCs w:val="false"/>
          <w:color w:val="1A1A1A"/>
          <w:sz w:val="21"/>
          <w:szCs w:val="21"/>
        </w:rPr>
        <w:t xml:space="preserve">At the opening of every Board and standing-committee meeting, the Clerk shall ask whether any attendee has a conflict on a noticed item. The answer is recorded in the minutes. A late-discovered conflict mid-meeting still requires recusal and a minutes entry.</w:t>
      </w:r>
    </w:p>
    <w:p>
      <w:pPr>
        <w:pStyle w:val="Heading2"/>
        <w:spacing w:after="80" w:before="220"/>
      </w:pPr>
      <w:r>
        <w:rPr>
          <w:rFonts w:ascii="Calibri" w:cs="Calibri" w:eastAsia="Calibri" w:hAnsi="Calibri"/>
          <w:b/>
          <w:bCs/>
          <w:color w:val="1B365D"/>
          <w:sz w:val="24"/>
          <w:szCs w:val="24"/>
        </w:rPr>
        <w:t xml:space="preserve">D. New-hire, new-vendor, new-grant screens</w:t>
      </w:r>
    </w:p>
    <w:p>
      <w:pPr>
        <w:spacing w:after="140" w:line="276"/>
      </w:pPr>
      <w:r>
        <w:rPr>
          <w:rFonts w:ascii="Calibri" w:cs="Calibri" w:eastAsia="Calibri" w:hAnsi="Calibri"/>
          <w:b w:val="false"/>
          <w:bCs w:val="false"/>
          <w:i w:val="false"/>
          <w:iCs w:val="false"/>
          <w:color w:val="1A1A1A"/>
          <w:sz w:val="21"/>
          <w:szCs w:val="21"/>
        </w:rPr>
        <w:t xml:space="preserve">HR shall not finalize an offer, and Procurement shall not finalize a vendor or subcontractor, until the CCO screen against the Disclosure File is complete. Foundation grants above $5,000 require the same screen against Disqualified Persons.</w:t>
      </w:r>
    </w:p>
    <w:p>
      <w:pPr>
        <w:pStyle w:val="Heading1"/>
        <w:pBdr>
          <w:bottom w:val="single" w:color="1B365D" w:sz="12" w:space="4"/>
        </w:pBdr>
        <w:spacing w:after="140" w:before="280"/>
      </w:pPr>
      <w:r>
        <w:rPr>
          <w:rFonts w:ascii="Calibri" w:cs="Calibri" w:eastAsia="Calibri" w:hAnsi="Calibri"/>
          <w:b/>
          <w:bCs/>
          <w:color w:val="1B365D"/>
          <w:sz w:val="28"/>
          <w:szCs w:val="28"/>
        </w:rPr>
        <w:t xml:space="preserve">VII. Recusal</w:t>
      </w:r>
    </w:p>
    <w:p>
      <w:pPr>
        <w:spacing w:after="140" w:line="276"/>
      </w:pPr>
      <w:r>
        <w:rPr>
          <w:rFonts w:ascii="Calibri" w:cs="Calibri" w:eastAsia="Calibri" w:hAnsi="Calibri"/>
          <w:b w:val="false"/>
          <w:bCs w:val="false"/>
          <w:i w:val="false"/>
          <w:iCs w:val="false"/>
          <w:color w:val="1A1A1A"/>
          <w:sz w:val="21"/>
          <w:szCs w:val="21"/>
        </w:rPr>
        <w:t xml:space="preserve">A recused Covered Person shall not:</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Receive the underlying materials beyond the public or redacted set.</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Participate in discussion, including informal hallway or chat discussion with decision-makers.</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Be counted toward quorum on that item.</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Vote, sign, or direct a subordinate to vote or sign.</w:t>
      </w:r>
    </w:p>
    <w:p>
      <w:pPr>
        <w:spacing w:after="140" w:line="276"/>
      </w:pPr>
      <w:r>
        <w:rPr>
          <w:rFonts w:ascii="Calibri" w:cs="Calibri" w:eastAsia="Calibri" w:hAnsi="Calibri"/>
          <w:b w:val="false"/>
          <w:bCs w:val="false"/>
          <w:i w:val="false"/>
          <w:iCs w:val="false"/>
          <w:color w:val="1A1A1A"/>
          <w:sz w:val="21"/>
          <w:szCs w:val="21"/>
        </w:rPr>
        <w:t xml:space="preserve">The person leaves the room or the virtual session for the item. Form C is completed the same day. Minutes state the name, the item, the nature of the interest in general terms, and the time of departure and return.</w:t>
      </w:r>
    </w:p>
    <w:p>
      <w:pPr>
        <w:pStyle w:val="Heading1"/>
        <w:pBdr>
          <w:bottom w:val="single" w:color="1B365D" w:sz="12" w:space="4"/>
        </w:pBdr>
        <w:spacing w:after="140" w:before="280"/>
      </w:pPr>
      <w:r>
        <w:rPr>
          <w:rFonts w:ascii="Calibri" w:cs="Calibri" w:eastAsia="Calibri" w:hAnsi="Calibri"/>
          <w:b/>
          <w:bCs/>
          <w:color w:val="1B365D"/>
          <w:sz w:val="28"/>
          <w:szCs w:val="28"/>
        </w:rPr>
        <w:t xml:space="preserve">VIII. Evaluation and Management Plans</w:t>
      </w:r>
    </w:p>
    <w:p>
      <w:pPr>
        <w:pStyle w:val="Heading2"/>
        <w:spacing w:after="80" w:before="220"/>
      </w:pPr>
      <w:r>
        <w:rPr>
          <w:rFonts w:ascii="Calibri" w:cs="Calibri" w:eastAsia="Calibri" w:hAnsi="Calibri"/>
          <w:b/>
          <w:bCs/>
          <w:color w:val="1B365D"/>
          <w:sz w:val="24"/>
          <w:szCs w:val="24"/>
        </w:rPr>
        <w:t xml:space="preserve">A. Who decides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3600"/>
        <w:gridCol w:w="3680"/>
      </w:tblGrid>
      <w:tr>
        <w:trPr>
          <w:tblHeader/>
        </w:trPr>
        <w:tc>
          <w:tcPr>
            <w:tcW w:type="dxa" w:w="2800"/>
            <w:tcBorders>
              <w:top w:val="single" w:color="D4CBB8" w:sz="4"/>
              <w:left w:val="single" w:color="D4CBB8" w:sz="4"/>
              <w:bottom w:val="single" w:color="D4CBB8" w:sz="4"/>
              <w:right w:val="single" w:color="D4CBB8" w:sz="4"/>
            </w:tcBorders>
            <w:shd w:fill="1B365D" w:val="clear"/>
            <w:tcMar>
              <w:top w:type="dxa" w:w="60"/>
              <w:left w:type="dxa" w:w="80"/>
              <w:bottom w:type="dxa" w:w="60"/>
              <w:right w:type="dxa" w:w="80"/>
            </w:tcMar>
            <w:vAlign w:val="center"/>
          </w:tcPr>
          <w:p>
            <w:pPr>
              <w:jc w:val="left"/>
            </w:pPr>
            <w:r>
              <w:rPr>
                <w:rFonts w:ascii="Calibri" w:cs="Calibri" w:eastAsia="Calibri" w:hAnsi="Calibri"/>
                <w:b/>
                <w:bCs/>
                <w:i w:val="false"/>
                <w:iCs w:val="false"/>
                <w:color w:val="FFFFFF"/>
                <w:sz w:val="16"/>
                <w:szCs w:val="16"/>
              </w:rPr>
              <w:t xml:space="preserve">Matter</w:t>
            </w:r>
          </w:p>
        </w:tc>
        <w:tc>
          <w:tcPr>
            <w:tcW w:type="dxa" w:w="3600"/>
            <w:tcBorders>
              <w:top w:val="single" w:color="D4CBB8" w:sz="4"/>
              <w:left w:val="single" w:color="D4CBB8" w:sz="4"/>
              <w:bottom w:val="single" w:color="D4CBB8" w:sz="4"/>
              <w:right w:val="single" w:color="D4CBB8" w:sz="4"/>
            </w:tcBorders>
            <w:shd w:fill="1B365D" w:val="clear"/>
            <w:tcMar>
              <w:top w:type="dxa" w:w="60"/>
              <w:left w:type="dxa" w:w="80"/>
              <w:bottom w:type="dxa" w:w="60"/>
              <w:right w:type="dxa" w:w="80"/>
            </w:tcMar>
            <w:vAlign w:val="center"/>
          </w:tcPr>
          <w:p>
            <w:pPr>
              <w:jc w:val="left"/>
            </w:pPr>
            <w:r>
              <w:rPr>
                <w:rFonts w:ascii="Calibri" w:cs="Calibri" w:eastAsia="Calibri" w:hAnsi="Calibri"/>
                <w:b/>
                <w:bCs/>
                <w:i w:val="false"/>
                <w:iCs w:val="false"/>
                <w:color w:val="FFFFFF"/>
                <w:sz w:val="16"/>
                <w:szCs w:val="16"/>
              </w:rPr>
              <w:t xml:space="preserve">Decision-maker</w:t>
            </w:r>
          </w:p>
        </w:tc>
        <w:tc>
          <w:tcPr>
            <w:tcW w:type="dxa" w:w="3680"/>
            <w:tcBorders>
              <w:top w:val="single" w:color="D4CBB8" w:sz="4"/>
              <w:left w:val="single" w:color="D4CBB8" w:sz="4"/>
              <w:bottom w:val="single" w:color="D4CBB8" w:sz="4"/>
              <w:right w:val="single" w:color="D4CBB8" w:sz="4"/>
            </w:tcBorders>
            <w:shd w:fill="1B365D" w:val="clear"/>
            <w:tcMar>
              <w:top w:type="dxa" w:w="60"/>
              <w:left w:type="dxa" w:w="80"/>
              <w:bottom w:type="dxa" w:w="60"/>
              <w:right w:type="dxa" w:w="80"/>
            </w:tcMar>
            <w:vAlign w:val="center"/>
          </w:tcPr>
          <w:p>
            <w:pPr>
              <w:jc w:val="left"/>
            </w:pPr>
            <w:r>
              <w:rPr>
                <w:rFonts w:ascii="Calibri" w:cs="Calibri" w:eastAsia="Calibri" w:hAnsi="Calibri"/>
                <w:b/>
                <w:bCs/>
                <w:i w:val="false"/>
                <w:iCs w:val="false"/>
                <w:color w:val="FFFFFF"/>
                <w:sz w:val="16"/>
                <w:szCs w:val="16"/>
              </w:rPr>
              <w:t xml:space="preserve">Escalation</w:t>
            </w:r>
          </w:p>
        </w:tc>
      </w:tr>
      <w:tr>
        <w:tc>
          <w:tcPr>
            <w:tcW w:type="dxa" w:w="28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Ordinary employee conflict; gift &lt; $250; no RPT</w:t>
            </w:r>
          </w:p>
        </w:tc>
        <w:tc>
          <w:tcPr>
            <w:tcW w:type="dxa" w:w="36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Chief Compliance Officer</w:t>
            </w:r>
          </w:p>
        </w:tc>
        <w:tc>
          <w:tcPr>
            <w:tcW w:type="dxa" w:w="36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General Counsel</w:t>
            </w:r>
          </w:p>
        </w:tc>
      </w:tr>
      <w:tr>
        <w:tc>
          <w:tcPr>
            <w:tcW w:type="dxa" w:w="28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Officer conflict; RPT under $50,000; Family Member hire below VP</w:t>
            </w:r>
          </w:p>
        </w:tc>
        <w:tc>
          <w:tcPr>
            <w:tcW w:type="dxa" w:w="36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CCO + General Counsel</w:t>
            </w:r>
          </w:p>
        </w:tc>
        <w:tc>
          <w:tcPr>
            <w:tcW w:type="dxa" w:w="36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Legal Committee Chair</w:t>
            </w:r>
          </w:p>
        </w:tc>
      </w:tr>
      <w:tr>
        <w:tc>
          <w:tcPr>
            <w:tcW w:type="dxa" w:w="28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Governor conflict; RPT $50,000 or more; any Foundation excess-benefit question</w:t>
            </w:r>
          </w:p>
        </w:tc>
        <w:tc>
          <w:tcPr>
            <w:tcW w:type="dxa" w:w="36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Legal Committee (interested Governor recused)</w:t>
            </w:r>
          </w:p>
        </w:tc>
        <w:tc>
          <w:tcPr>
            <w:tcW w:type="dxa" w:w="36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Board of Governors</w:t>
            </w:r>
          </w:p>
        </w:tc>
      </w:tr>
      <w:tr>
        <w:tc>
          <w:tcPr>
            <w:tcW w:type="dxa" w:w="28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BDEF OCI affecting a bid, contract, or facility</w:t>
            </w:r>
          </w:p>
        </w:tc>
        <w:tc>
          <w:tcPr>
            <w:tcW w:type="dxa" w:w="36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CCO + BDEF contracts lead + General Counsel</w:t>
            </w:r>
          </w:p>
        </w:tc>
        <w:tc>
          <w:tcPr>
            <w:tcW w:type="dxa" w:w="36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Legal Committee; notify the contracting officer if a clause requires it</w:t>
            </w:r>
          </w:p>
        </w:tc>
      </w:tr>
      <w:tr>
        <w:tc>
          <w:tcPr>
            <w:tcW w:type="dxa" w:w="28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Transaction with a &gt;2% S-corp shareholder or Family Member</w:t>
            </w:r>
          </w:p>
        </w:tc>
        <w:tc>
          <w:tcPr>
            <w:tcW w:type="dxa" w:w="36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Legal Committee + independent tax advisor</w:t>
            </w:r>
          </w:p>
        </w:tc>
        <w:tc>
          <w:tcPr>
            <w:tcW w:type="dxa" w:w="36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Board; Controller records 3210 / 1810 / 2800 as directed</w:t>
            </w:r>
          </w:p>
        </w:tc>
      </w:tr>
    </w:tbl>
    <w:p>
      <w:pPr>
        <w:pStyle w:val="Heading2"/>
        <w:spacing w:after="80" w:before="220"/>
      </w:pPr>
      <w:r>
        <w:rPr>
          <w:rFonts w:ascii="Calibri" w:cs="Calibri" w:eastAsia="Calibri" w:hAnsi="Calibri"/>
          <w:b/>
          <w:bCs/>
          <w:color w:val="1B365D"/>
          <w:sz w:val="24"/>
          <w:szCs w:val="24"/>
        </w:rPr>
        <w:t xml:space="preserve">B. Clearance standard</w:t>
      </w:r>
    </w:p>
    <w:p>
      <w:pPr>
        <w:spacing w:after="140" w:line="276"/>
      </w:pPr>
      <w:r>
        <w:rPr>
          <w:rFonts w:ascii="Calibri" w:cs="Calibri" w:eastAsia="Calibri" w:hAnsi="Calibri"/>
          <w:b w:val="false"/>
          <w:bCs w:val="false"/>
          <w:i w:val="false"/>
          <w:iCs w:val="false"/>
          <w:color w:val="1A1A1A"/>
          <w:sz w:val="21"/>
          <w:szCs w:val="21"/>
        </w:rPr>
        <w:t xml:space="preserve">A conflict may be cleared only if the decision-maker finds, in writing: the interest has been fully disclosed; the terms are fair to the Company (comparability or bid evidence); the Company need is real; and any residual risk is addressed in a Management Plan.</w:t>
      </w:r>
    </w:p>
    <w:p>
      <w:pPr>
        <w:pStyle w:val="Heading2"/>
        <w:spacing w:after="80" w:before="220"/>
      </w:pPr>
      <w:r>
        <w:rPr>
          <w:rFonts w:ascii="Calibri" w:cs="Calibri" w:eastAsia="Calibri" w:hAnsi="Calibri"/>
          <w:b/>
          <w:bCs/>
          <w:color w:val="1B365D"/>
          <w:sz w:val="24"/>
          <w:szCs w:val="24"/>
        </w:rPr>
        <w:t xml:space="preserve">C. Management Plan contents</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Description of the conflict and the people/entities involved.</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Information barrier, reporting-line change, or recusal mechanics.</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Independent approval path and who owns monitoring.</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Duration, sunset, and the event that forces a re-review.</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Accounting treatment (including the GL the Controller will use).</w:t>
      </w:r>
    </w:p>
    <w:p>
      <w:pPr>
        <w:spacing w:after="140" w:line="276"/>
      </w:pPr>
      <w:r>
        <w:rPr>
          <w:rFonts w:ascii="Calibri" w:cs="Calibri" w:eastAsia="Calibri" w:hAnsi="Calibri"/>
          <w:b w:val="false"/>
          <w:bCs w:val="false"/>
          <w:i w:val="false"/>
          <w:iCs w:val="false"/>
          <w:color w:val="1A1A1A"/>
          <w:sz w:val="21"/>
          <w:szCs w:val="21"/>
        </w:rPr>
        <w:t xml:space="preserve">The CCO logs every Management Plan in the Disclosure File and reviews it at least annually.</w:t>
      </w:r>
    </w:p>
    <w:p>
      <w:pPr>
        <w:pStyle w:val="Heading1"/>
        <w:pBdr>
          <w:bottom w:val="single" w:color="1B365D" w:sz="12" w:space="4"/>
        </w:pBdr>
        <w:spacing w:after="140" w:before="280"/>
      </w:pPr>
      <w:r>
        <w:rPr>
          <w:rFonts w:ascii="Calibri" w:cs="Calibri" w:eastAsia="Calibri" w:hAnsi="Calibri"/>
          <w:b/>
          <w:bCs/>
          <w:color w:val="1B365D"/>
          <w:sz w:val="28"/>
          <w:szCs w:val="28"/>
        </w:rPr>
        <w:t xml:space="preserve">IX. Related-Party Transactions — Accounting Tie-Out</w:t>
      </w:r>
    </w:p>
    <w:p>
      <w:pPr>
        <w:spacing w:after="140" w:line="276"/>
      </w:pPr>
      <w:r>
        <w:rPr>
          <w:rFonts w:ascii="Calibri" w:cs="Calibri" w:eastAsia="Calibri" w:hAnsi="Calibri"/>
          <w:b w:val="false"/>
          <w:bCs w:val="false"/>
          <w:i w:val="false"/>
          <w:iCs w:val="false"/>
          <w:color w:val="1A1A1A"/>
          <w:sz w:val="21"/>
          <w:szCs w:val="21"/>
        </w:rPr>
        <w:t xml:space="preserve">The Controller shall not post an RPT to an operating-expense or third-party-revenue account merely because that is how the bank described the wire. Default posting: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800"/>
        <w:gridCol w:w="8280"/>
      </w:tblGrid>
      <w:tr>
        <w:trPr>
          <w:tblHeader/>
        </w:trPr>
        <w:tc>
          <w:tcPr>
            <w:tcW w:type="dxa" w:w="1800"/>
            <w:tcBorders>
              <w:top w:val="single" w:color="D4CBB8" w:sz="4"/>
              <w:left w:val="single" w:color="D4CBB8" w:sz="4"/>
              <w:bottom w:val="single" w:color="D4CBB8" w:sz="4"/>
              <w:right w:val="single" w:color="D4CBB8" w:sz="4"/>
            </w:tcBorders>
            <w:shd w:fill="1B365D" w:val="clear"/>
            <w:tcMar>
              <w:top w:type="dxa" w:w="60"/>
              <w:left w:type="dxa" w:w="80"/>
              <w:bottom w:type="dxa" w:w="60"/>
              <w:right w:type="dxa" w:w="80"/>
            </w:tcMar>
            <w:vAlign w:val="center"/>
          </w:tcPr>
          <w:p>
            <w:pPr>
              <w:jc w:val="left"/>
            </w:pPr>
            <w:r>
              <w:rPr>
                <w:rFonts w:ascii="Calibri" w:cs="Calibri" w:eastAsia="Calibri" w:hAnsi="Calibri"/>
                <w:b/>
                <w:bCs/>
                <w:i w:val="false"/>
                <w:iCs w:val="false"/>
                <w:color w:val="FFFFFF"/>
                <w:sz w:val="16"/>
                <w:szCs w:val="16"/>
              </w:rPr>
              <w:t xml:space="preserve">GL</w:t>
            </w:r>
          </w:p>
        </w:tc>
        <w:tc>
          <w:tcPr>
            <w:tcW w:type="dxa" w:w="8280"/>
            <w:tcBorders>
              <w:top w:val="single" w:color="D4CBB8" w:sz="4"/>
              <w:left w:val="single" w:color="D4CBB8" w:sz="4"/>
              <w:bottom w:val="single" w:color="D4CBB8" w:sz="4"/>
              <w:right w:val="single" w:color="D4CBB8" w:sz="4"/>
            </w:tcBorders>
            <w:shd w:fill="1B365D" w:val="clear"/>
            <w:tcMar>
              <w:top w:type="dxa" w:w="60"/>
              <w:left w:type="dxa" w:w="80"/>
              <w:bottom w:type="dxa" w:w="60"/>
              <w:right w:type="dxa" w:w="80"/>
            </w:tcMar>
            <w:vAlign w:val="center"/>
          </w:tcPr>
          <w:p>
            <w:pPr>
              <w:jc w:val="left"/>
            </w:pPr>
            <w:r>
              <w:rPr>
                <w:rFonts w:ascii="Calibri" w:cs="Calibri" w:eastAsia="Calibri" w:hAnsi="Calibri"/>
                <w:b/>
                <w:bCs/>
                <w:i w:val="false"/>
                <w:iCs w:val="false"/>
                <w:color w:val="FFFFFF"/>
                <w:sz w:val="16"/>
                <w:szCs w:val="16"/>
              </w:rPr>
              <w:t xml:space="preserve">Use in an RPT / COI setting</w:t>
            </w:r>
          </w:p>
        </w:tc>
      </w:tr>
      <w:tr>
        <w:tc>
          <w:tcPr>
            <w:tcW w:type="dxa" w:w="18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1120 / 2010</w:t>
            </w:r>
          </w:p>
        </w:tc>
        <w:tc>
          <w:tcPr>
            <w:tcW w:type="dxa" w:w="8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Intercompany receivable / payable between EIN entities.</w:t>
            </w:r>
          </w:p>
        </w:tc>
      </w:tr>
      <w:tr>
        <w:tc>
          <w:tcPr>
            <w:tcW w:type="dxa" w:w="18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1800</w:t>
            </w:r>
          </w:p>
        </w:tc>
        <w:tc>
          <w:tcPr>
            <w:tcW w:type="dxa" w:w="8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Holdings investment in BDEF, BEG, or another EIN sub.</w:t>
            </w:r>
          </w:p>
        </w:tc>
      </w:tr>
      <w:tr>
        <w:tc>
          <w:tcPr>
            <w:tcW w:type="dxa" w:w="18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1810 / 2800</w:t>
            </w:r>
          </w:p>
        </w:tc>
        <w:tc>
          <w:tcPr>
            <w:tcW w:type="dxa" w:w="8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Related-party notes; shareholder loans either direction.</w:t>
            </w:r>
          </w:p>
        </w:tc>
      </w:tr>
      <w:tr>
        <w:tc>
          <w:tcPr>
            <w:tcW w:type="dxa" w:w="18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3210</w:t>
            </w:r>
          </w:p>
        </w:tc>
        <w:tc>
          <w:tcPr>
            <w:tcW w:type="dxa" w:w="8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Shareholder distributions — including personal card spend, personal travel, and informal draws. Not a page-1 deduction on the 1120-S.</w:t>
            </w:r>
          </w:p>
        </w:tc>
      </w:tr>
      <w:tr>
        <w:tc>
          <w:tcPr>
            <w:tcW w:type="dxa" w:w="18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4910</w:t>
            </w:r>
          </w:p>
        </w:tc>
        <w:tc>
          <w:tcPr>
            <w:tcW w:type="dxa" w:w="8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Intercompany revenue. Eliminate in combined reporting. Do not treat as L1a of a different EIN.</w:t>
            </w:r>
          </w:p>
        </w:tc>
      </w:tr>
      <w:tr>
        <w:tc>
          <w:tcPr>
            <w:tcW w:type="dxa" w:w="18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5100</w:t>
            </w:r>
          </w:p>
        </w:tc>
        <w:tc>
          <w:tcPr>
            <w:tcW w:type="dxa" w:w="8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Officer W-2 compensation. Related-party labor is not a vendor 1099 if the person is an officer.</w:t>
            </w:r>
          </w:p>
        </w:tc>
      </w:tr>
      <w:tr>
        <w:tc>
          <w:tcPr>
            <w:tcW w:type="dxa" w:w="18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6290</w:t>
            </w:r>
          </w:p>
        </w:tc>
        <w:tc>
          <w:tcPr>
            <w:tcW w:type="dxa" w:w="8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Holdings contribution to the Foundation only. Foundation grant-making lives on the 990 books.</w:t>
            </w:r>
          </w:p>
        </w:tc>
      </w:tr>
      <w:tr>
        <w:tc>
          <w:tcPr>
            <w:tcW w:type="dxa" w:w="18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7200</w:t>
            </w:r>
          </w:p>
        </w:tc>
        <w:tc>
          <w:tcPr>
            <w:tcW w:type="dxa" w:w="8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Fines, penalties, and nondeductible amounts arising from a COI breach. Never 60xx.</w:t>
            </w:r>
          </w:p>
        </w:tc>
      </w:tr>
    </w:tbl>
    <w:p>
      <w:pPr>
        <w:spacing w:after="140" w:line="276"/>
      </w:pPr>
      <w:r>
        <w:rPr>
          <w:rFonts w:ascii="Calibri" w:cs="Calibri" w:eastAsia="Calibri" w:hAnsi="Calibri"/>
          <w:b w:val="false"/>
          <w:bCs w:val="false"/>
          <w:i w:val="false"/>
          <w:iCs w:val="false"/>
          <w:color w:val="1A1A1A"/>
          <w:sz w:val="21"/>
          <w:szCs w:val="21"/>
        </w:rPr>
        <w:t xml:space="preserve">A Related-Party Transaction that cannot be documented at arm’s length is not “other operating expense.” It is either denied, restructured, or recorded as a distribution or contribution.</w:t>
      </w:r>
    </w:p>
    <w:p>
      <w:pPr>
        <w:pStyle w:val="Heading1"/>
        <w:pBdr>
          <w:bottom w:val="single" w:color="1B365D" w:sz="12" w:space="4"/>
        </w:pBdr>
        <w:spacing w:after="140" w:before="280"/>
      </w:pPr>
      <w:r>
        <w:rPr>
          <w:rFonts w:ascii="Calibri" w:cs="Calibri" w:eastAsia="Calibri" w:hAnsi="Calibri"/>
          <w:b/>
          <w:bCs/>
          <w:color w:val="1B365D"/>
          <w:sz w:val="28"/>
          <w:szCs w:val="28"/>
        </w:rPr>
        <w:t xml:space="preserve">X. Training, Records, and Audit</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Live or recorded training for all Covered Persons within 45 days of the Effective Date and annually each January. BDEF program staff receive an OCI module in addition to the general module.</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Disclosure Files, Forms A–D, Management Plans, and minutes excerpts are retained seven (7) years after the later of close of the fiscal year or close of the related contract or grant.</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Internal Audit, or an outside firm designated by the Legal Committee, shall test this instrument at least annually: sample Form A completeness, sample RPTs against GL 1120/2010/3210, and sample BDEF bids against OCI files.</w:t>
      </w:r>
    </w:p>
    <w:p>
      <w:pPr>
        <w:pStyle w:val="ListParagraph"/>
        <w:numPr>
          <w:ilvl w:val="0"/>
          <w:numId w:val="2"/>
        </w:numPr>
        <w:spacing w:after="60" w:line="260"/>
      </w:pPr>
      <w:r>
        <w:rPr>
          <w:rFonts w:ascii="Calibri" w:cs="Calibri" w:eastAsia="Calibri" w:hAnsi="Calibri"/>
          <w:b w:val="false"/>
          <w:bCs w:val="false"/>
          <w:i w:val="false"/>
          <w:iCs w:val="false"/>
          <w:color w:val="1A1A1A"/>
          <w:sz w:val="21"/>
          <w:szCs w:val="21"/>
        </w:rPr>
        <w:t xml:space="preserve">The CCO reports quarterly to the Legal Committee: number of Form A outstanding, Form B determinations, open Management Plans, and any violation.</w:t>
      </w:r>
    </w:p>
    <w:p>
      <w:pPr>
        <w:pStyle w:val="Heading1"/>
        <w:pBdr>
          <w:bottom w:val="single" w:color="1B365D" w:sz="12" w:space="4"/>
        </w:pBdr>
        <w:spacing w:after="140" w:before="280"/>
      </w:pPr>
      <w:r>
        <w:rPr>
          <w:rFonts w:ascii="Calibri" w:cs="Calibri" w:eastAsia="Calibri" w:hAnsi="Calibri"/>
          <w:b/>
          <w:bCs/>
          <w:color w:val="1B365D"/>
          <w:sz w:val="28"/>
          <w:szCs w:val="28"/>
        </w:rPr>
        <w:t xml:space="preserve">XI. Violations</w:t>
      </w:r>
    </w:p>
    <w:p>
      <w:pPr>
        <w:spacing w:after="140" w:line="276"/>
      </w:pPr>
      <w:r>
        <w:rPr>
          <w:rFonts w:ascii="Calibri" w:cs="Calibri" w:eastAsia="Calibri" w:hAnsi="Calibri"/>
          <w:b w:val="false"/>
          <w:bCs w:val="false"/>
          <w:i w:val="false"/>
          <w:iCs w:val="false"/>
          <w:color w:val="1A1A1A"/>
          <w:sz w:val="21"/>
          <w:szCs w:val="21"/>
        </w:rPr>
        <w:t xml:space="preserve">Violations include: failure to file Form A or Form B; acting while recused; directing a subordinate to conceal an interest; posting personal spend as a deductible expense after notice; bidding BDEF work in the face of an unmanaged OCI; and causing the Foundation to confer an excess benefit.</w:t>
      </w:r>
    </w:p>
    <w:p>
      <w:pPr>
        <w:spacing w:after="140" w:line="276"/>
      </w:pPr>
      <w:r>
        <w:rPr>
          <w:rFonts w:ascii="Calibri" w:cs="Calibri" w:eastAsia="Calibri" w:hAnsi="Calibri"/>
          <w:b w:val="false"/>
          <w:bCs w:val="false"/>
          <w:i w:val="false"/>
          <w:iCs w:val="false"/>
          <w:color w:val="1A1A1A"/>
          <w:sz w:val="21"/>
          <w:szCs w:val="21"/>
        </w:rPr>
        <w:t xml:space="preserve">Consequences, proportionate to the facts, include written censure, clawback of the benefit, recission of the transaction, removal from a program or committee, termination for cause, and referral to the contracting officer, the IRS, or other authorities. A violation by a Governor is referred to the Board of Governors.</w:t>
      </w:r>
    </w:p>
    <w:p>
      <w:pPr>
        <w:spacing w:after="140" w:line="276"/>
      </w:pPr>
      <w:r>
        <w:rPr>
          <w:rFonts w:ascii="Calibri" w:cs="Calibri" w:eastAsia="Calibri" w:hAnsi="Calibri"/>
          <w:b w:val="false"/>
          <w:bCs w:val="false"/>
          <w:i w:val="false"/>
          <w:iCs w:val="false"/>
          <w:color w:val="1A1A1A"/>
          <w:sz w:val="21"/>
          <w:szCs w:val="21"/>
        </w:rPr>
        <w:t xml:space="preserve">Retaliation against a person who reports a good-faith concern under this instrument is an independent violation.</w:t>
      </w:r>
    </w:p>
    <w:p>
      <w:pPr>
        <w:pStyle w:val="Heading1"/>
        <w:pBdr>
          <w:bottom w:val="single" w:color="1B365D" w:sz="12" w:space="4"/>
        </w:pBdr>
        <w:spacing w:after="140" w:before="280"/>
      </w:pPr>
      <w:r>
        <w:rPr>
          <w:rFonts w:ascii="Calibri" w:cs="Calibri" w:eastAsia="Calibri" w:hAnsi="Calibri"/>
          <w:b/>
          <w:bCs/>
          <w:color w:val="1B365D"/>
          <w:sz w:val="28"/>
          <w:szCs w:val="28"/>
        </w:rPr>
        <w:t xml:space="preserve">XII. Responsibilities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rPr>
          <w:tblHeader/>
        </w:trPr>
        <w:tc>
          <w:tcPr>
            <w:tcW w:type="dxa" w:w="2800"/>
            <w:tcBorders>
              <w:top w:val="single" w:color="D4CBB8" w:sz="4"/>
              <w:left w:val="single" w:color="D4CBB8" w:sz="4"/>
              <w:bottom w:val="single" w:color="D4CBB8" w:sz="4"/>
              <w:right w:val="single" w:color="D4CBB8" w:sz="4"/>
            </w:tcBorders>
            <w:shd w:fill="1B365D" w:val="clear"/>
            <w:tcMar>
              <w:top w:type="dxa" w:w="60"/>
              <w:left w:type="dxa" w:w="80"/>
              <w:bottom w:type="dxa" w:w="60"/>
              <w:right w:type="dxa" w:w="80"/>
            </w:tcMar>
            <w:vAlign w:val="center"/>
          </w:tcPr>
          <w:p>
            <w:pPr>
              <w:jc w:val="left"/>
            </w:pPr>
            <w:r>
              <w:rPr>
                <w:rFonts w:ascii="Calibri" w:cs="Calibri" w:eastAsia="Calibri" w:hAnsi="Calibri"/>
                <w:b/>
                <w:bCs/>
                <w:i w:val="false"/>
                <w:iCs w:val="false"/>
                <w:color w:val="FFFFFF"/>
                <w:sz w:val="16"/>
                <w:szCs w:val="16"/>
              </w:rPr>
              <w:t xml:space="preserve">Role</w:t>
            </w:r>
          </w:p>
        </w:tc>
        <w:tc>
          <w:tcPr>
            <w:tcW w:type="dxa" w:w="7280"/>
            <w:tcBorders>
              <w:top w:val="single" w:color="D4CBB8" w:sz="4"/>
              <w:left w:val="single" w:color="D4CBB8" w:sz="4"/>
              <w:bottom w:val="single" w:color="D4CBB8" w:sz="4"/>
              <w:right w:val="single" w:color="D4CBB8" w:sz="4"/>
            </w:tcBorders>
            <w:shd w:fill="1B365D" w:val="clear"/>
            <w:tcMar>
              <w:top w:type="dxa" w:w="60"/>
              <w:left w:type="dxa" w:w="80"/>
              <w:bottom w:type="dxa" w:w="60"/>
              <w:right w:type="dxa" w:w="80"/>
            </w:tcMar>
            <w:vAlign w:val="center"/>
          </w:tcPr>
          <w:p>
            <w:pPr>
              <w:jc w:val="left"/>
            </w:pPr>
            <w:r>
              <w:rPr>
                <w:rFonts w:ascii="Calibri" w:cs="Calibri" w:eastAsia="Calibri" w:hAnsi="Calibri"/>
                <w:b/>
                <w:bCs/>
                <w:i w:val="false"/>
                <w:iCs w:val="false"/>
                <w:color w:val="FFFFFF"/>
                <w:sz w:val="16"/>
                <w:szCs w:val="16"/>
              </w:rPr>
              <w:t xml:space="preserve">Charge</w:t>
            </w:r>
          </w:p>
        </w:tc>
      </w:tr>
      <w:tr>
        <w:tc>
          <w:tcPr>
            <w:tcW w:type="dxa" w:w="28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Board of Governors</w:t>
            </w:r>
          </w:p>
        </w:tc>
        <w:tc>
          <w:tcPr>
            <w:tcW w:type="dxa" w:w="7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Issues this instrument under GOV.01. Adjudicates Governor conflicts and material RPTs. Receives the annual CCO attestation.</w:t>
            </w:r>
          </w:p>
        </w:tc>
      </w:tr>
      <w:tr>
        <w:tc>
          <w:tcPr>
            <w:tcW w:type="dxa" w:w="28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Legal Committee</w:t>
            </w:r>
          </w:p>
        </w:tc>
        <w:tc>
          <w:tcPr>
            <w:tcW w:type="dxa" w:w="7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Responsible Committee. Oversees the CCO. Approves Management Plans at the thresholds in Section VIII.</w:t>
            </w:r>
          </w:p>
        </w:tc>
      </w:tr>
      <w:tr>
        <w:tc>
          <w:tcPr>
            <w:tcW w:type="dxa" w:w="28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Chief Compliance Officer</w:t>
            </w:r>
          </w:p>
        </w:tc>
        <w:tc>
          <w:tcPr>
            <w:tcW w:type="dxa" w:w="7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Policy Owner. Runs the Disclosure File, determinations, training, and quarterly report. May halt a transaction pending clearance.</w:t>
            </w:r>
          </w:p>
        </w:tc>
      </w:tr>
      <w:tr>
        <w:tc>
          <w:tcPr>
            <w:tcW w:type="dxa" w:w="28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General Counsel</w:t>
            </w:r>
          </w:p>
        </w:tc>
        <w:tc>
          <w:tcPr>
            <w:tcW w:type="dxa" w:w="7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Legal review of determinations, OCI plans, Foundation § 4958 files, and any disclosure to a government customer.</w:t>
            </w:r>
          </w:p>
        </w:tc>
      </w:tr>
      <w:tr>
        <w:tc>
          <w:tcPr>
            <w:tcW w:type="dxa" w:w="28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Controller / Finance</w:t>
            </w:r>
          </w:p>
        </w:tc>
        <w:tc>
          <w:tcPr>
            <w:tcW w:type="dxa" w:w="7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Posts RPTs to the correct GL. Refuses 60xx coding for personal or intercompany items. Flags unmapped vendor–insider overlap to the CCO.</w:t>
            </w:r>
          </w:p>
        </w:tc>
      </w:tr>
      <w:tr>
        <w:tc>
          <w:tcPr>
            <w:tcW w:type="dxa" w:w="28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BDEF Contracts lead</w:t>
            </w:r>
          </w:p>
        </w:tc>
        <w:tc>
          <w:tcPr>
            <w:tcW w:type="dxa" w:w="7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OCI screen on every bid and task order. Owns affiliate firewalls required by a Management Plan.</w:t>
            </w:r>
          </w:p>
        </w:tc>
      </w:tr>
      <w:tr>
        <w:tc>
          <w:tcPr>
            <w:tcW w:type="dxa" w:w="28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Foundation Chair / ED</w:t>
            </w:r>
          </w:p>
        </w:tc>
        <w:tc>
          <w:tcPr>
            <w:tcW w:type="dxa" w:w="7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No grant or insider payment without Form B and recused Foundation-board action.</w:t>
            </w:r>
          </w:p>
        </w:tc>
      </w:tr>
      <w:tr>
        <w:tc>
          <w:tcPr>
            <w:tcW w:type="dxa" w:w="28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Clerk of the Board</w:t>
            </w:r>
          </w:p>
        </w:tc>
        <w:tc>
          <w:tcPr>
            <w:tcW w:type="dxa" w:w="7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Policy Custodian. Meeting disclosure call, minutes, Policy Matrix, issuance letter.</w:t>
            </w:r>
          </w:p>
        </w:tc>
      </w:tr>
      <w:tr>
        <w:tc>
          <w:tcPr>
            <w:tcW w:type="dxa" w:w="28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Every Covered Person</w:t>
            </w:r>
          </w:p>
        </w:tc>
        <w:tc>
          <w:tcPr>
            <w:tcW w:type="dxa" w:w="72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Disclose, recuse, complete training, and keep Form A current.</w:t>
            </w:r>
          </w:p>
        </w:tc>
      </w:tr>
    </w:tbl>
    <w:p>
      <w:pPr>
        <w:pStyle w:val="Heading1"/>
        <w:pBdr>
          <w:bottom w:val="single" w:color="1B365D" w:sz="12" w:space="4"/>
        </w:pBdr>
        <w:spacing w:after="140" w:before="280"/>
      </w:pPr>
      <w:r>
        <w:rPr>
          <w:rFonts w:ascii="Calibri" w:cs="Calibri" w:eastAsia="Calibri" w:hAnsi="Calibri"/>
          <w:b/>
          <w:bCs/>
          <w:color w:val="1B365D"/>
          <w:sz w:val="28"/>
          <w:szCs w:val="28"/>
        </w:rPr>
        <w:t xml:space="preserve">XIII. Interpretation, Waiver, Amendment</w:t>
      </w:r>
    </w:p>
    <w:p>
      <w:pPr>
        <w:spacing w:after="140" w:line="276"/>
      </w:pPr>
      <w:r>
        <w:rPr>
          <w:rFonts w:ascii="Calibri" w:cs="Calibri" w:eastAsia="Calibri" w:hAnsi="Calibri"/>
          <w:b w:val="false"/>
          <w:bCs w:val="false"/>
          <w:i w:val="false"/>
          <w:iCs w:val="false"/>
          <w:color w:val="1A1A1A"/>
          <w:sz w:val="21"/>
          <w:szCs w:val="21"/>
        </w:rPr>
        <w:t xml:space="preserve">The General Counsel interprets this instrument. A waiver of a provision for a named person requires Legal Committee approval and is itself a Management Plan. Substantive amendments follow GOV.01 (Policy Action Form, PAC, Board resolution, Chair issuance letter). Technical and compliance-with-law revisions may issue through the Clerk with Board notification.</w:t>
      </w:r>
    </w:p>
    <w:p>
      <w:pPr>
        <w:spacing w:after="140" w:line="276"/>
      </w:pPr>
      <w:r>
        <w:rPr>
          <w:rFonts w:ascii="Calibri" w:cs="Calibri" w:eastAsia="Calibri" w:hAnsi="Calibri"/>
          <w:b w:val="false"/>
          <w:bCs w:val="false"/>
          <w:i w:val="false"/>
          <w:iCs w:val="false"/>
          <w:color w:val="1A1A1A"/>
          <w:sz w:val="21"/>
          <w:szCs w:val="21"/>
        </w:rPr>
        <w:t xml:space="preserve">These Procedures prevail over any informal past practice, including personal use of Company payment rails and commingling of Foundation or affiliate cash on Holdings accounts.</w:t>
      </w:r>
    </w:p>
    <w:p>
      <w:pPr>
        <w:pStyle w:val="Heading1"/>
        <w:pBdr>
          <w:bottom w:val="single" w:color="1B365D" w:sz="12" w:space="4"/>
        </w:pBdr>
        <w:spacing w:after="140" w:before="280"/>
      </w:pPr>
      <w:r>
        <w:rPr>
          <w:rFonts w:ascii="Calibri" w:cs="Calibri" w:eastAsia="Calibri" w:hAnsi="Calibri"/>
          <w:b/>
          <w:bCs/>
          <w:color w:val="1B365D"/>
          <w:sz w:val="28"/>
          <w:szCs w:val="28"/>
        </w:rPr>
        <w:t xml:space="preserve">XIV. Revision History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400"/>
        <w:gridCol w:w="1800"/>
        <w:gridCol w:w="1800"/>
        <w:gridCol w:w="5080"/>
      </w:tblGrid>
      <w:tr>
        <w:trPr>
          <w:tblHeader/>
        </w:trPr>
        <w:tc>
          <w:tcPr>
            <w:tcW w:type="dxa" w:w="1400"/>
            <w:tcBorders>
              <w:top w:val="single" w:color="D4CBB8" w:sz="4"/>
              <w:left w:val="single" w:color="D4CBB8" w:sz="4"/>
              <w:bottom w:val="single" w:color="D4CBB8" w:sz="4"/>
              <w:right w:val="single" w:color="D4CBB8" w:sz="4"/>
            </w:tcBorders>
            <w:shd w:fill="1B365D" w:val="clear"/>
            <w:tcMar>
              <w:top w:type="dxa" w:w="60"/>
              <w:left w:type="dxa" w:w="80"/>
              <w:bottom w:type="dxa" w:w="60"/>
              <w:right w:type="dxa" w:w="80"/>
            </w:tcMar>
            <w:vAlign w:val="center"/>
          </w:tcPr>
          <w:p>
            <w:pPr>
              <w:jc w:val="left"/>
            </w:pPr>
            <w:r>
              <w:rPr>
                <w:rFonts w:ascii="Calibri" w:cs="Calibri" w:eastAsia="Calibri" w:hAnsi="Calibri"/>
                <w:b/>
                <w:bCs/>
                <w:i w:val="false"/>
                <w:iCs w:val="false"/>
                <w:color w:val="FFFFFF"/>
                <w:sz w:val="16"/>
                <w:szCs w:val="16"/>
              </w:rPr>
              <w:t xml:space="preserve">Rev.</w:t>
            </w:r>
          </w:p>
        </w:tc>
        <w:tc>
          <w:tcPr>
            <w:tcW w:type="dxa" w:w="1800"/>
            <w:tcBorders>
              <w:top w:val="single" w:color="D4CBB8" w:sz="4"/>
              <w:left w:val="single" w:color="D4CBB8" w:sz="4"/>
              <w:bottom w:val="single" w:color="D4CBB8" w:sz="4"/>
              <w:right w:val="single" w:color="D4CBB8" w:sz="4"/>
            </w:tcBorders>
            <w:shd w:fill="1B365D" w:val="clear"/>
            <w:tcMar>
              <w:top w:type="dxa" w:w="60"/>
              <w:left w:type="dxa" w:w="80"/>
              <w:bottom w:type="dxa" w:w="60"/>
              <w:right w:type="dxa" w:w="80"/>
            </w:tcMar>
            <w:vAlign w:val="center"/>
          </w:tcPr>
          <w:p>
            <w:pPr>
              <w:jc w:val="left"/>
            </w:pPr>
            <w:r>
              <w:rPr>
                <w:rFonts w:ascii="Calibri" w:cs="Calibri" w:eastAsia="Calibri" w:hAnsi="Calibri"/>
                <w:b/>
                <w:bCs/>
                <w:i w:val="false"/>
                <w:iCs w:val="false"/>
                <w:color w:val="FFFFFF"/>
                <w:sz w:val="16"/>
                <w:szCs w:val="16"/>
              </w:rPr>
              <w:t xml:space="preserve">Date</w:t>
            </w:r>
          </w:p>
        </w:tc>
        <w:tc>
          <w:tcPr>
            <w:tcW w:type="dxa" w:w="1800"/>
            <w:tcBorders>
              <w:top w:val="single" w:color="D4CBB8" w:sz="4"/>
              <w:left w:val="single" w:color="D4CBB8" w:sz="4"/>
              <w:bottom w:val="single" w:color="D4CBB8" w:sz="4"/>
              <w:right w:val="single" w:color="D4CBB8" w:sz="4"/>
            </w:tcBorders>
            <w:shd w:fill="1B365D" w:val="clear"/>
            <w:tcMar>
              <w:top w:type="dxa" w:w="60"/>
              <w:left w:type="dxa" w:w="80"/>
              <w:bottom w:type="dxa" w:w="60"/>
              <w:right w:type="dxa" w:w="80"/>
            </w:tcMar>
            <w:vAlign w:val="center"/>
          </w:tcPr>
          <w:p>
            <w:pPr>
              <w:jc w:val="left"/>
            </w:pPr>
            <w:r>
              <w:rPr>
                <w:rFonts w:ascii="Calibri" w:cs="Calibri" w:eastAsia="Calibri" w:hAnsi="Calibri"/>
                <w:b/>
                <w:bCs/>
                <w:i w:val="false"/>
                <w:iCs w:val="false"/>
                <w:color w:val="FFFFFF"/>
                <w:sz w:val="16"/>
                <w:szCs w:val="16"/>
              </w:rPr>
              <w:t xml:space="preserve">Track</w:t>
            </w:r>
          </w:p>
        </w:tc>
        <w:tc>
          <w:tcPr>
            <w:tcW w:type="dxa" w:w="5080"/>
            <w:tcBorders>
              <w:top w:val="single" w:color="D4CBB8" w:sz="4"/>
              <w:left w:val="single" w:color="D4CBB8" w:sz="4"/>
              <w:bottom w:val="single" w:color="D4CBB8" w:sz="4"/>
              <w:right w:val="single" w:color="D4CBB8" w:sz="4"/>
            </w:tcBorders>
            <w:shd w:fill="1B365D" w:val="clear"/>
            <w:tcMar>
              <w:top w:type="dxa" w:w="60"/>
              <w:left w:type="dxa" w:w="80"/>
              <w:bottom w:type="dxa" w:w="60"/>
              <w:right w:type="dxa" w:w="80"/>
            </w:tcMar>
            <w:vAlign w:val="center"/>
          </w:tcPr>
          <w:p>
            <w:pPr>
              <w:jc w:val="left"/>
            </w:pPr>
            <w:r>
              <w:rPr>
                <w:rFonts w:ascii="Calibri" w:cs="Calibri" w:eastAsia="Calibri" w:hAnsi="Calibri"/>
                <w:b/>
                <w:bCs/>
                <w:i w:val="false"/>
                <w:iCs w:val="false"/>
                <w:color w:val="FFFFFF"/>
                <w:sz w:val="16"/>
                <w:szCs w:val="16"/>
              </w:rPr>
              <w:t xml:space="preserve">Action</w:t>
            </w:r>
          </w:p>
        </w:tc>
      </w:tr>
      <w:tr>
        <w:tc>
          <w:tcPr>
            <w:tcW w:type="dxa" w:w="14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1.0</w:t>
            </w:r>
          </w:p>
        </w:tc>
        <w:tc>
          <w:tcPr>
            <w:tcW w:type="dxa" w:w="18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18 Sep 2026</w:t>
            </w:r>
          </w:p>
        </w:tc>
        <w:tc>
          <w:tcPr>
            <w:tcW w:type="dxa" w:w="18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New instrument</w:t>
            </w:r>
          </w:p>
        </w:tc>
        <w:tc>
          <w:tcPr>
            <w:tcW w:type="dxa" w:w="50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Initial issuance of GOV.02 Conflict of Interest Compliance Procedures for CY2026. Effective 1 October 2026.</w:t>
            </w:r>
          </w:p>
        </w:tc>
      </w:tr>
    </w:tbl>
    <w:p>
      <w:pPr>
        <w:pageBreakBefore/>
      </w:pPr>
      <w:r>
        <w:rPr>
          <w:rFonts w:ascii="Calibri" w:cs="Calibri" w:eastAsia="Calibri" w:hAnsi="Calibri"/>
          <w:b w:val="false"/>
          <w:bCs w:val="false"/>
          <w:i w:val="false"/>
          <w:iCs w:val="false"/>
          <w:color w:val="1A1A1A"/>
          <w:sz w:val="21"/>
          <w:szCs w:val="21"/>
        </w:rPr>
        <w:t xml:space="preserve"/>
      </w:r>
    </w:p>
    <w:p>
      <w:pPr>
        <w:pStyle w:val="Heading1"/>
        <w:pBdr>
          <w:bottom w:val="single" w:color="1B365D" w:sz="12" w:space="4"/>
        </w:pBdr>
        <w:spacing w:after="140" w:before="280"/>
      </w:pPr>
      <w:r>
        <w:rPr>
          <w:rFonts w:ascii="Calibri" w:cs="Calibri" w:eastAsia="Calibri" w:hAnsi="Calibri"/>
          <w:b/>
          <w:bCs/>
          <w:color w:val="1B365D"/>
          <w:sz w:val="28"/>
          <w:szCs w:val="28"/>
        </w:rPr>
        <w:t xml:space="preserve">Appendix A — Form A  ·  Annual Conflict Disclosure</w:t>
      </w:r>
    </w:p>
    <w:p>
      <w:pPr>
        <w:spacing w:after="80" w:before="80"/>
      </w:pPr>
      <w:r>
        <w:rPr>
          <w:rFonts w:ascii="Calibri" w:cs="Calibri" w:eastAsia="Calibri" w:hAnsi="Calibri"/>
          <w:b w:val="false"/>
          <w:bCs w:val="false"/>
          <w:i/>
          <w:iCs/>
          <w:color w:val="5C6570"/>
          <w:sz w:val="18"/>
          <w:szCs w:val="18"/>
        </w:rPr>
        <w:t xml:space="preserve">Complete by January 31 each year and within 30 days of becoming a Covered Person. File with the Chief Compliance Officer. Attach extra pages as needed. False statements are a violation of GOV.02.</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00"/>
        <w:gridCol w:w="6880"/>
      </w:tblGrid>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Full legal name</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Position / entity served</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Holdings / BDEF / BEG / Foundation / other</w:t>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Employee or Governor ID</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Period covered</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Calendar year 2026, or date range</w:t>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Outside positions</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List every officer, director, manager, partner, or key-employee seat. Write “None” if none.</w:t>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Financial Interests in counterparties</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Customers, vendors, competitors, primes, grantees. Write “None” if none.</w:t>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Family Member overlaps</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Name, relationship, entity, role. Write “None” if none.</w:t>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Related-Party Transactions this year</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Dollar amount, counterparty, status (pending / closed / Management Plan #).</w:t>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Gifts / meals / entertainment above $75 from one source</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Source, date, fair value. Or “See Form D.”</w:t>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Government employment in last 5 years</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Agency, dates, post-employment restrictions if any.</w:t>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BDEF / federal work touchpoints</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Programs, bids, facilities you can influence.</w:t>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Foundation role or Disqualified Person status</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Yes / No, and describe.</w:t>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Certification</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I have read GOV.02. The answers are complete. I will file Form B before any new conflict.</w:t>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Signature / date</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CCO intake date / file no.</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Office use</w:t>
            </w:r>
          </w:p>
        </w:tc>
      </w:tr>
    </w:tbl>
    <w:p>
      <w:pPr>
        <w:pStyle w:val="Heading1"/>
        <w:pBdr>
          <w:bottom w:val="single" w:color="1B365D" w:sz="12" w:space="4"/>
        </w:pBdr>
        <w:spacing w:after="140" w:before="280"/>
      </w:pPr>
      <w:r>
        <w:rPr>
          <w:rFonts w:ascii="Calibri" w:cs="Calibri" w:eastAsia="Calibri" w:hAnsi="Calibri"/>
          <w:b/>
          <w:bCs/>
          <w:color w:val="1B365D"/>
          <w:sz w:val="28"/>
          <w:szCs w:val="28"/>
        </w:rPr>
        <w:t xml:space="preserve">Appendix B — Form B  ·  Transactional / OCI Disclosure</w:t>
      </w:r>
    </w:p>
    <w:p>
      <w:pPr>
        <w:spacing w:after="80" w:before="80"/>
      </w:pPr>
      <w:r>
        <w:rPr>
          <w:rFonts w:ascii="Calibri" w:cs="Calibri" w:eastAsia="Calibri" w:hAnsi="Calibri"/>
          <w:b w:val="false"/>
          <w:bCs w:val="false"/>
          <w:i/>
          <w:iCs/>
          <w:color w:val="5C6570"/>
          <w:sz w:val="18"/>
          <w:szCs w:val="18"/>
        </w:rPr>
        <w:t xml:space="preserve">File before the transaction, hire, bid, grant, or opportunity moves. Work stops until the CCO determination is issued.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00"/>
        <w:gridCol w:w="6880"/>
      </w:tblGrid>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Requestor</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Name, title, entity</w:t>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Type</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RPT / Family hire / OCI / Corporate opportunity / Foundation payment / Other</w:t>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Counterparty</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Legal name, EIN if known, relationship to requestor</w:t>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Company entity on our side</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Holdings / BDEF / BEG / Foundation / other</w:t>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Description of the deal</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Scope, term, dollars, GL the Controller expects to use</w:t>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Why the Company needs it</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Comparability / bids / valuation</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Attach</w:t>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OCI theory if federal work</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Unequal information / biased ground rules / impaired objectivity</w:t>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Proposed Management Plan</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Recusal, firewall, independent approval, unwind</w:t>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Requestor signature / date</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CCO determination</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 Clear    ☐ Conditional (plan attached)    ☐ Denied</w:t>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GC concurrence (if required)</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Legal Committee / Board (if required)</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Minute citation</w:t>
            </w:r>
          </w:p>
        </w:tc>
      </w:tr>
    </w:tbl>
    <w:p>
      <w:pPr>
        <w:pStyle w:val="Heading1"/>
        <w:pBdr>
          <w:bottom w:val="single" w:color="1B365D" w:sz="12" w:space="4"/>
        </w:pBdr>
        <w:spacing w:after="140" w:before="280"/>
      </w:pPr>
      <w:r>
        <w:rPr>
          <w:rFonts w:ascii="Calibri" w:cs="Calibri" w:eastAsia="Calibri" w:hAnsi="Calibri"/>
          <w:b/>
          <w:bCs/>
          <w:color w:val="1B365D"/>
          <w:sz w:val="28"/>
          <w:szCs w:val="28"/>
        </w:rPr>
        <w:t xml:space="preserve">Appendix C — Form C  ·  Recusal Record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00"/>
        <w:gridCol w:w="6880"/>
      </w:tblGrid>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Meeting or decision body</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Date / time</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Item on the agenda</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Recused person</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Nature of the interest (general)</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Do not put privileged deal terms in the minutes.</w:t>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Time left / time returned</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Quorum after recusal</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Yes / No</w:t>
            </w:r>
          </w:p>
        </w:tc>
      </w:tr>
      <w:tr>
        <w:tc>
          <w:tcPr>
            <w:tcW w:type="dxa" w:w="3200"/>
            <w:tcBorders>
              <w:top w:val="single" w:color="D4CBB8" w:sz="4"/>
              <w:left w:val="single" w:color="D4CBB8" w:sz="4"/>
              <w:bottom w:val="single" w:color="D4CBB8" w:sz="4"/>
              <w:right w:val="single" w:color="D4CBB8" w:sz="4"/>
            </w:tcBorders>
            <w:shd w:fill="F7F5F0"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Clerk or CCO attestation</w:t>
            </w:r>
          </w:p>
        </w:tc>
        <w:tc>
          <w:tcPr>
            <w:tcW w:type="dxa" w:w="6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5C6570"/>
                <w:sz w:val="18"/>
                <w:szCs w:val="18"/>
              </w:rPr>
              <w:t xml:space="preserve"/>
            </w:r>
          </w:p>
        </w:tc>
      </w:tr>
    </w:tbl>
    <w:p>
      <w:pPr>
        <w:pStyle w:val="Heading1"/>
        <w:pBdr>
          <w:bottom w:val="single" w:color="1B365D" w:sz="12" w:space="4"/>
        </w:pBdr>
        <w:spacing w:after="140" w:before="280"/>
      </w:pPr>
      <w:r>
        <w:rPr>
          <w:rFonts w:ascii="Calibri" w:cs="Calibri" w:eastAsia="Calibri" w:hAnsi="Calibri"/>
          <w:b/>
          <w:bCs/>
          <w:color w:val="1B365D"/>
          <w:sz w:val="28"/>
          <w:szCs w:val="28"/>
        </w:rPr>
        <w:t xml:space="preserve">Appendix D — Form D  ·  Gift, Meal, and Entertainment Log</w:t>
      </w:r>
    </w:p>
    <w:p>
      <w:pPr>
        <w:spacing w:after="80" w:before="80"/>
      </w:pPr>
      <w:r>
        <w:rPr>
          <w:rFonts w:ascii="Calibri" w:cs="Calibri" w:eastAsia="Calibri" w:hAnsi="Calibri"/>
          <w:b w:val="false"/>
          <w:bCs w:val="false"/>
          <w:i/>
          <w:iCs/>
          <w:color w:val="5C6570"/>
          <w:sz w:val="18"/>
          <w:szCs w:val="18"/>
        </w:rPr>
        <w:t xml:space="preserve">One row per item at or above $75 fair value from a single source in a calendar year. Cash and cash-equivalents are prohibited and, if received in error, are surrendered the same day.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400"/>
        <w:gridCol w:w="2200"/>
        <w:gridCol w:w="1600"/>
        <w:gridCol w:w="1400"/>
        <w:gridCol w:w="1600"/>
        <w:gridCol w:w="1880"/>
      </w:tblGrid>
      <w:tr>
        <w:trPr>
          <w:tblHeader/>
        </w:trPr>
        <w:tc>
          <w:tcPr>
            <w:tcW w:type="dxa" w:w="1400"/>
            <w:tcBorders>
              <w:top w:val="single" w:color="D4CBB8" w:sz="4"/>
              <w:left w:val="single" w:color="D4CBB8" w:sz="4"/>
              <w:bottom w:val="single" w:color="D4CBB8" w:sz="4"/>
              <w:right w:val="single" w:color="D4CBB8" w:sz="4"/>
            </w:tcBorders>
            <w:shd w:fill="1B365D" w:val="clear"/>
            <w:tcMar>
              <w:top w:type="dxa" w:w="60"/>
              <w:left w:type="dxa" w:w="80"/>
              <w:bottom w:type="dxa" w:w="60"/>
              <w:right w:type="dxa" w:w="80"/>
            </w:tcMar>
            <w:vAlign w:val="center"/>
          </w:tcPr>
          <w:p>
            <w:pPr>
              <w:jc w:val="left"/>
            </w:pPr>
            <w:r>
              <w:rPr>
                <w:rFonts w:ascii="Calibri" w:cs="Calibri" w:eastAsia="Calibri" w:hAnsi="Calibri"/>
                <w:b/>
                <w:bCs/>
                <w:i w:val="false"/>
                <w:iCs w:val="false"/>
                <w:color w:val="FFFFFF"/>
                <w:sz w:val="16"/>
                <w:szCs w:val="16"/>
              </w:rPr>
              <w:t xml:space="preserve">Date</w:t>
            </w:r>
          </w:p>
        </w:tc>
        <w:tc>
          <w:tcPr>
            <w:tcW w:type="dxa" w:w="2200"/>
            <w:tcBorders>
              <w:top w:val="single" w:color="D4CBB8" w:sz="4"/>
              <w:left w:val="single" w:color="D4CBB8" w:sz="4"/>
              <w:bottom w:val="single" w:color="D4CBB8" w:sz="4"/>
              <w:right w:val="single" w:color="D4CBB8" w:sz="4"/>
            </w:tcBorders>
            <w:shd w:fill="1B365D" w:val="clear"/>
            <w:tcMar>
              <w:top w:type="dxa" w:w="60"/>
              <w:left w:type="dxa" w:w="80"/>
              <w:bottom w:type="dxa" w:w="60"/>
              <w:right w:type="dxa" w:w="80"/>
            </w:tcMar>
            <w:vAlign w:val="center"/>
          </w:tcPr>
          <w:p>
            <w:pPr>
              <w:jc w:val="left"/>
            </w:pPr>
            <w:r>
              <w:rPr>
                <w:rFonts w:ascii="Calibri" w:cs="Calibri" w:eastAsia="Calibri" w:hAnsi="Calibri"/>
                <w:b/>
                <w:bCs/>
                <w:i w:val="false"/>
                <w:iCs w:val="false"/>
                <w:color w:val="FFFFFF"/>
                <w:sz w:val="16"/>
                <w:szCs w:val="16"/>
              </w:rPr>
              <w:t xml:space="preserve">Source</w:t>
            </w:r>
          </w:p>
        </w:tc>
        <w:tc>
          <w:tcPr>
            <w:tcW w:type="dxa" w:w="1600"/>
            <w:tcBorders>
              <w:top w:val="single" w:color="D4CBB8" w:sz="4"/>
              <w:left w:val="single" w:color="D4CBB8" w:sz="4"/>
              <w:bottom w:val="single" w:color="D4CBB8" w:sz="4"/>
              <w:right w:val="single" w:color="D4CBB8" w:sz="4"/>
            </w:tcBorders>
            <w:shd w:fill="1B365D" w:val="clear"/>
            <w:tcMar>
              <w:top w:type="dxa" w:w="60"/>
              <w:left w:type="dxa" w:w="80"/>
              <w:bottom w:type="dxa" w:w="60"/>
              <w:right w:type="dxa" w:w="80"/>
            </w:tcMar>
            <w:vAlign w:val="center"/>
          </w:tcPr>
          <w:p>
            <w:pPr>
              <w:jc w:val="left"/>
            </w:pPr>
            <w:r>
              <w:rPr>
                <w:rFonts w:ascii="Calibri" w:cs="Calibri" w:eastAsia="Calibri" w:hAnsi="Calibri"/>
                <w:b/>
                <w:bCs/>
                <w:i w:val="false"/>
                <w:iCs w:val="false"/>
                <w:color w:val="FFFFFF"/>
                <w:sz w:val="16"/>
                <w:szCs w:val="16"/>
              </w:rPr>
              <w:t xml:space="preserve">Item</w:t>
            </w:r>
          </w:p>
        </w:tc>
        <w:tc>
          <w:tcPr>
            <w:tcW w:type="dxa" w:w="1400"/>
            <w:tcBorders>
              <w:top w:val="single" w:color="D4CBB8" w:sz="4"/>
              <w:left w:val="single" w:color="D4CBB8" w:sz="4"/>
              <w:bottom w:val="single" w:color="D4CBB8" w:sz="4"/>
              <w:right w:val="single" w:color="D4CBB8" w:sz="4"/>
            </w:tcBorders>
            <w:shd w:fill="1B365D" w:val="clear"/>
            <w:tcMar>
              <w:top w:type="dxa" w:w="60"/>
              <w:left w:type="dxa" w:w="80"/>
              <w:bottom w:type="dxa" w:w="60"/>
              <w:right w:type="dxa" w:w="80"/>
            </w:tcMar>
            <w:vAlign w:val="center"/>
          </w:tcPr>
          <w:p>
            <w:pPr>
              <w:jc w:val="left"/>
            </w:pPr>
            <w:r>
              <w:rPr>
                <w:rFonts w:ascii="Calibri" w:cs="Calibri" w:eastAsia="Calibri" w:hAnsi="Calibri"/>
                <w:b/>
                <w:bCs/>
                <w:i w:val="false"/>
                <w:iCs w:val="false"/>
                <w:color w:val="FFFFFF"/>
                <w:sz w:val="16"/>
                <w:szCs w:val="16"/>
              </w:rPr>
              <w:t xml:space="preserve">Fair value</w:t>
            </w:r>
          </w:p>
        </w:tc>
        <w:tc>
          <w:tcPr>
            <w:tcW w:type="dxa" w:w="1600"/>
            <w:tcBorders>
              <w:top w:val="single" w:color="D4CBB8" w:sz="4"/>
              <w:left w:val="single" w:color="D4CBB8" w:sz="4"/>
              <w:bottom w:val="single" w:color="D4CBB8" w:sz="4"/>
              <w:right w:val="single" w:color="D4CBB8" w:sz="4"/>
            </w:tcBorders>
            <w:shd w:fill="1B365D" w:val="clear"/>
            <w:tcMar>
              <w:top w:type="dxa" w:w="60"/>
              <w:left w:type="dxa" w:w="80"/>
              <w:bottom w:type="dxa" w:w="60"/>
              <w:right w:type="dxa" w:w="80"/>
            </w:tcMar>
            <w:vAlign w:val="center"/>
          </w:tcPr>
          <w:p>
            <w:pPr>
              <w:jc w:val="left"/>
            </w:pPr>
            <w:r>
              <w:rPr>
                <w:rFonts w:ascii="Calibri" w:cs="Calibri" w:eastAsia="Calibri" w:hAnsi="Calibri"/>
                <w:b/>
                <w:bCs/>
                <w:i w:val="false"/>
                <w:iCs w:val="false"/>
                <w:color w:val="FFFFFF"/>
                <w:sz w:val="16"/>
                <w:szCs w:val="16"/>
              </w:rPr>
              <w:t xml:space="preserve">Business purpose</w:t>
            </w:r>
          </w:p>
        </w:tc>
        <w:tc>
          <w:tcPr>
            <w:tcW w:type="dxa" w:w="1880"/>
            <w:tcBorders>
              <w:top w:val="single" w:color="D4CBB8" w:sz="4"/>
              <w:left w:val="single" w:color="D4CBB8" w:sz="4"/>
              <w:bottom w:val="single" w:color="D4CBB8" w:sz="4"/>
              <w:right w:val="single" w:color="D4CBB8" w:sz="4"/>
            </w:tcBorders>
            <w:shd w:fill="1B365D" w:val="clear"/>
            <w:tcMar>
              <w:top w:type="dxa" w:w="60"/>
              <w:left w:type="dxa" w:w="80"/>
              <w:bottom w:type="dxa" w:w="60"/>
              <w:right w:type="dxa" w:w="80"/>
            </w:tcMar>
            <w:vAlign w:val="center"/>
          </w:tcPr>
          <w:p>
            <w:pPr>
              <w:jc w:val="left"/>
            </w:pPr>
            <w:r>
              <w:rPr>
                <w:rFonts w:ascii="Calibri" w:cs="Calibri" w:eastAsia="Calibri" w:hAnsi="Calibri"/>
                <w:b/>
                <w:bCs/>
                <w:i w:val="false"/>
                <w:iCs w:val="false"/>
                <w:color w:val="FFFFFF"/>
                <w:sz w:val="16"/>
                <w:szCs w:val="16"/>
              </w:rPr>
              <w:t xml:space="preserve">Pre-cleared?</w:t>
            </w:r>
          </w:p>
        </w:tc>
      </w:tr>
      <w:tr>
        <w:tc>
          <w:tcPr>
            <w:tcW w:type="dxa" w:w="14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c>
          <w:tcPr>
            <w:tcW w:type="dxa" w:w="22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c>
          <w:tcPr>
            <w:tcW w:type="dxa" w:w="16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c>
          <w:tcPr>
            <w:tcW w:type="dxa" w:w="14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c>
          <w:tcPr>
            <w:tcW w:type="dxa" w:w="16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c>
          <w:tcPr>
            <w:tcW w:type="dxa" w:w="1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r>
      <w:tr>
        <w:tc>
          <w:tcPr>
            <w:tcW w:type="dxa" w:w="14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c>
          <w:tcPr>
            <w:tcW w:type="dxa" w:w="22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c>
          <w:tcPr>
            <w:tcW w:type="dxa" w:w="16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c>
          <w:tcPr>
            <w:tcW w:type="dxa" w:w="14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c>
          <w:tcPr>
            <w:tcW w:type="dxa" w:w="16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c>
          <w:tcPr>
            <w:tcW w:type="dxa" w:w="1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r>
      <w:tr>
        <w:tc>
          <w:tcPr>
            <w:tcW w:type="dxa" w:w="14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c>
          <w:tcPr>
            <w:tcW w:type="dxa" w:w="22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c>
          <w:tcPr>
            <w:tcW w:type="dxa" w:w="16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c>
          <w:tcPr>
            <w:tcW w:type="dxa" w:w="14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c>
          <w:tcPr>
            <w:tcW w:type="dxa" w:w="16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c>
          <w:tcPr>
            <w:tcW w:type="dxa" w:w="1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r>
      <w:tr>
        <w:tc>
          <w:tcPr>
            <w:tcW w:type="dxa" w:w="14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c>
          <w:tcPr>
            <w:tcW w:type="dxa" w:w="22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c>
          <w:tcPr>
            <w:tcW w:type="dxa" w:w="16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c>
          <w:tcPr>
            <w:tcW w:type="dxa" w:w="14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c>
          <w:tcPr>
            <w:tcW w:type="dxa" w:w="16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c>
          <w:tcPr>
            <w:tcW w:type="dxa" w:w="1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r>
      <w:tr>
        <w:tc>
          <w:tcPr>
            <w:tcW w:type="dxa" w:w="14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c>
          <w:tcPr>
            <w:tcW w:type="dxa" w:w="22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c>
          <w:tcPr>
            <w:tcW w:type="dxa" w:w="16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c>
          <w:tcPr>
            <w:tcW w:type="dxa" w:w="14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c>
          <w:tcPr>
            <w:tcW w:type="dxa" w:w="16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c>
          <w:tcPr>
            <w:tcW w:type="dxa" w:w="1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 </w:t>
            </w:r>
          </w:p>
        </w:tc>
      </w:tr>
    </w:tbl>
    <w:p>
      <w:pPr>
        <w:pStyle w:val="Heading1"/>
        <w:pBdr>
          <w:bottom w:val="single" w:color="1B365D" w:sz="12" w:space="4"/>
        </w:pBdr>
        <w:spacing w:after="140" w:before="280"/>
      </w:pPr>
      <w:r>
        <w:rPr>
          <w:rFonts w:ascii="Calibri" w:cs="Calibri" w:eastAsia="Calibri" w:hAnsi="Calibri"/>
          <w:b/>
          <w:bCs/>
          <w:color w:val="1B365D"/>
          <w:sz w:val="28"/>
          <w:szCs w:val="28"/>
        </w:rPr>
        <w:t xml:space="preserve">Appendix E — 2026 Implementation Calendar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00"/>
        <w:gridCol w:w="7880"/>
      </w:tblGrid>
      <w:tr>
        <w:trPr>
          <w:tblHeader/>
        </w:trPr>
        <w:tc>
          <w:tcPr>
            <w:tcW w:type="dxa" w:w="2200"/>
            <w:tcBorders>
              <w:top w:val="single" w:color="D4CBB8" w:sz="4"/>
              <w:left w:val="single" w:color="D4CBB8" w:sz="4"/>
              <w:bottom w:val="single" w:color="D4CBB8" w:sz="4"/>
              <w:right w:val="single" w:color="D4CBB8" w:sz="4"/>
            </w:tcBorders>
            <w:shd w:fill="1B365D" w:val="clear"/>
            <w:tcMar>
              <w:top w:type="dxa" w:w="60"/>
              <w:left w:type="dxa" w:w="80"/>
              <w:bottom w:type="dxa" w:w="60"/>
              <w:right w:type="dxa" w:w="80"/>
            </w:tcMar>
            <w:vAlign w:val="center"/>
          </w:tcPr>
          <w:p>
            <w:pPr>
              <w:jc w:val="left"/>
            </w:pPr>
            <w:r>
              <w:rPr>
                <w:rFonts w:ascii="Calibri" w:cs="Calibri" w:eastAsia="Calibri" w:hAnsi="Calibri"/>
                <w:b/>
                <w:bCs/>
                <w:i w:val="false"/>
                <w:iCs w:val="false"/>
                <w:color w:val="FFFFFF"/>
                <w:sz w:val="16"/>
                <w:szCs w:val="16"/>
              </w:rPr>
              <w:t xml:space="preserve">Date</w:t>
            </w:r>
          </w:p>
        </w:tc>
        <w:tc>
          <w:tcPr>
            <w:tcW w:type="dxa" w:w="7880"/>
            <w:tcBorders>
              <w:top w:val="single" w:color="D4CBB8" w:sz="4"/>
              <w:left w:val="single" w:color="D4CBB8" w:sz="4"/>
              <w:bottom w:val="single" w:color="D4CBB8" w:sz="4"/>
              <w:right w:val="single" w:color="D4CBB8" w:sz="4"/>
            </w:tcBorders>
            <w:shd w:fill="1B365D" w:val="clear"/>
            <w:tcMar>
              <w:top w:type="dxa" w:w="60"/>
              <w:left w:type="dxa" w:w="80"/>
              <w:bottom w:type="dxa" w:w="60"/>
              <w:right w:type="dxa" w:w="80"/>
            </w:tcMar>
            <w:vAlign w:val="center"/>
          </w:tcPr>
          <w:p>
            <w:pPr>
              <w:jc w:val="left"/>
            </w:pPr>
            <w:r>
              <w:rPr>
                <w:rFonts w:ascii="Calibri" w:cs="Calibri" w:eastAsia="Calibri" w:hAnsi="Calibri"/>
                <w:b/>
                <w:bCs/>
                <w:i w:val="false"/>
                <w:iCs w:val="false"/>
                <w:color w:val="FFFFFF"/>
                <w:sz w:val="16"/>
                <w:szCs w:val="16"/>
              </w:rPr>
              <w:t xml:space="preserve">Action</w:t>
            </w:r>
          </w:p>
        </w:tc>
      </w:tr>
      <w:tr>
        <w:tc>
          <w:tcPr>
            <w:tcW w:type="dxa" w:w="22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18 Sep 2026</w:t>
            </w:r>
          </w:p>
        </w:tc>
        <w:tc>
          <w:tcPr>
            <w:tcW w:type="dxa" w:w="7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Issuance. Clerk posts GOV.02 to the Policy Matrix as Active.</w:t>
            </w:r>
          </w:p>
        </w:tc>
      </w:tr>
      <w:tr>
        <w:tc>
          <w:tcPr>
            <w:tcW w:type="dxa" w:w="22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1 Oct 2026</w:t>
            </w:r>
          </w:p>
        </w:tc>
        <w:tc>
          <w:tcPr>
            <w:tcW w:type="dxa" w:w="7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Effective Date. Form B required from this date forward.</w:t>
            </w:r>
          </w:p>
        </w:tc>
      </w:tr>
      <w:tr>
        <w:tc>
          <w:tcPr>
            <w:tcW w:type="dxa" w:w="22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15 Oct 2026</w:t>
            </w:r>
          </w:p>
        </w:tc>
        <w:tc>
          <w:tcPr>
            <w:tcW w:type="dxa" w:w="7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Initial Form A due from all current Governors, officers, and employees.</w:t>
            </w:r>
          </w:p>
        </w:tc>
      </w:tr>
      <w:tr>
        <w:tc>
          <w:tcPr>
            <w:tcW w:type="dxa" w:w="22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31 Oct 2026</w:t>
            </w:r>
          </w:p>
        </w:tc>
        <w:tc>
          <w:tcPr>
            <w:tcW w:type="dxa" w:w="7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BDEF OCI inventory due: open bids, live contracts, affiliate staff overlap.</w:t>
            </w:r>
          </w:p>
        </w:tc>
      </w:tr>
      <w:tr>
        <w:tc>
          <w:tcPr>
            <w:tcW w:type="dxa" w:w="22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15 Nov 2026</w:t>
            </w:r>
          </w:p>
        </w:tc>
        <w:tc>
          <w:tcPr>
            <w:tcW w:type="dxa" w:w="7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Controller RPT tie-out: 1120 / 2010 / 3210 / 6290 / 1810 vs bank activity May–Oct 2026.</w:t>
            </w:r>
          </w:p>
        </w:tc>
      </w:tr>
      <w:tr>
        <w:tc>
          <w:tcPr>
            <w:tcW w:type="dxa" w:w="22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15 Nov 2026</w:t>
            </w:r>
          </w:p>
        </w:tc>
        <w:tc>
          <w:tcPr>
            <w:tcW w:type="dxa" w:w="7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Company-wide training complete.</w:t>
            </w:r>
          </w:p>
        </w:tc>
      </w:tr>
      <w:tr>
        <w:tc>
          <w:tcPr>
            <w:tcW w:type="dxa" w:w="22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31 Jan 2027</w:t>
            </w:r>
          </w:p>
        </w:tc>
        <w:tc>
          <w:tcPr>
            <w:tcW w:type="dxa" w:w="7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CY2027 Form A due. First annual Internal Audit test under Section X.</w:t>
            </w:r>
          </w:p>
        </w:tc>
      </w:tr>
      <w:tr>
        <w:tc>
          <w:tcPr>
            <w:tcW w:type="dxa" w:w="220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bCs/>
                <w:i w:val="false"/>
                <w:iCs w:val="false"/>
                <w:color w:val="1A1A1A"/>
                <w:sz w:val="18"/>
                <w:szCs w:val="18"/>
              </w:rPr>
              <w:t xml:space="preserve">1 Oct 2027</w:t>
            </w:r>
          </w:p>
        </w:tc>
        <w:tc>
          <w:tcPr>
            <w:tcW w:type="dxa" w:w="7880"/>
            <w:tcBorders>
              <w:top w:val="single" w:color="D4CBB8" w:sz="4"/>
              <w:left w:val="single" w:color="D4CBB8" w:sz="4"/>
              <w:bottom w:val="single" w:color="D4CBB8" w:sz="4"/>
              <w:right w:val="single" w:color="D4CBB8" w:sz="4"/>
            </w:tcBorders>
            <w:shd w:fill="FFFFFF" w:val="clear"/>
            <w:tcMar>
              <w:top w:type="dxa" w:w="60"/>
              <w:left w:type="dxa" w:w="80"/>
              <w:bottom w:type="dxa" w:w="60"/>
              <w:right w:type="dxa" w:w="80"/>
            </w:tcMar>
            <w:vAlign w:val="center"/>
          </w:tcPr>
          <w:p>
            <w:pPr>
              <w:jc w:val="left"/>
            </w:pPr>
            <w:r>
              <w:rPr>
                <w:rFonts w:ascii="Calibri" w:cs="Calibri" w:eastAsia="Calibri" w:hAnsi="Calibri"/>
                <w:b w:val="false"/>
                <w:bCs w:val="false"/>
                <w:i w:val="false"/>
                <w:iCs w:val="false"/>
                <w:color w:val="1A1A1A"/>
                <w:sz w:val="18"/>
                <w:szCs w:val="18"/>
              </w:rPr>
              <w:t xml:space="preserve">Scheduled review of this instrument.</w:t>
            </w:r>
          </w:p>
        </w:tc>
      </w:tr>
    </w:tbl>
    <w:p>
      <w:pPr>
        <w:spacing w:after="120" w:line="276"/>
      </w:pPr>
      <w:r>
        <w:rPr>
          <w:rFonts w:ascii="Calibri" w:cs="Calibri" w:eastAsia="Calibri" w:hAnsi="Calibri"/>
          <w:b w:val="false"/>
          <w:bCs w:val="false"/>
          <w:i/>
          <w:iCs/>
          <w:color w:val="5C6570"/>
          <w:sz w:val="18"/>
          <w:szCs w:val="18"/>
        </w:rPr>
        <w:t xml:space="preserve">Issued under GOV.01 by authority of the Board of Governors of The Blevins Company. Questions to the Chief Compliance Officer or clerk@blevinsholdings.com.</w:t>
      </w:r>
    </w:p>
    <w:sectPr>
      <w:headerReference w:type="default" r:id="rId7"/>
      <w:footerReference w:type="default" r:id="rId8"/>
      <w:pgSz w:w="12240" w:h="15840" w:orient="portrait"/>
      <w:pgMar w:top="90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B365D" w:sz="8" w:space="6"/>
      </w:pBdr>
      <w:tabs>
        <w:tab w:val="right" w:pos="10080"/>
      </w:tabs>
    </w:pPr>
    <w:r>
      <w:rPr>
        <w:rFonts w:ascii="Calibri" w:cs="Calibri" w:eastAsia="Calibri" w:hAnsi="Calibri"/>
        <w:b w:val="false"/>
        <w:bCs w:val="false"/>
        <w:i w:val="false"/>
        <w:iCs w:val="false"/>
        <w:color w:val="5C6570"/>
        <w:sz w:val="15"/>
        <w:szCs w:val="15"/>
      </w:rPr>
      <w:t xml:space="preserve">CONFIDENTIAL — INTERNAL USE ONLY    Effective 1 October 2026</w:t>
    </w:r>
    <w:r>
      <w:rPr>
        <w:rFonts w:ascii="Calibri" w:cs="Calibri" w:eastAsia="Calibri" w:hAnsi="Calibri"/>
        <w:color w:val="5C6570"/>
        <w:sz w:val="15"/>
        <w:szCs w:val="15"/>
      </w:rPr>
      <w:t xml:space="preserve">	Page </w:t>
    </w:r>
    <w:r>
      <w:rPr>
        <w:rFonts w:ascii="Calibri" w:cs="Calibri" w:eastAsia="Calibri" w:hAnsi="Calibri"/>
        <w:color w:val="5C6570"/>
        <w:sz w:val="15"/>
        <w:szCs w:val="15"/>
      </w:rPr>
      <w:fldChar w:fldCharType="begin"/>
      <w:instrText xml:space="preserve">PAGE</w:instrText>
      <w:fldChar w:fldCharType="separate"/>
      <w:fldChar w:fldCharType="end"/>
    </w:r>
    <w:r>
      <w:rPr>
        <w:rFonts w:ascii="Calibri" w:cs="Calibri" w:eastAsia="Calibri" w:hAnsi="Calibri"/>
        <w:color w:val="5C6570"/>
        <w:sz w:val="15"/>
        <w:szCs w:val="15"/>
      </w:rPr>
      <w:t xml:space="preserve"> of </w:t>
    </w:r>
    <w:r>
      <w:rPr>
        <w:rFonts w:ascii="Calibri" w:cs="Calibri" w:eastAsia="Calibri" w:hAnsi="Calibri"/>
        <w:color w:val="5C65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080"/>
      </w:tabs>
    </w:pPr>
    <w:r>
      <w:rPr>
        <w:rFonts w:ascii="Calibri" w:cs="Calibri" w:eastAsia="Calibri" w:hAnsi="Calibri"/>
        <w:b w:val="false"/>
        <w:bCs w:val="false"/>
        <w:i w:val="false"/>
        <w:iCs w:val="false"/>
        <w:color w:val="5C6570"/>
        <w:sz w:val="16"/>
        <w:szCs w:val="16"/>
      </w:rPr>
      <w:t xml:space="preserve">The Blevins Company  ·  Board of Governors</w:t>
    </w:r>
    <w:r>
      <w:rPr>
        <w:rFonts w:ascii="Calibri" w:cs="Calibri" w:eastAsia="Calibri" w:hAnsi="Calibri"/>
        <w:b/>
        <w:bCs/>
        <w:color w:val="1B365D"/>
        <w:sz w:val="16"/>
        <w:szCs w:val="16"/>
      </w:rPr>
      <w:t xml:space="preserve">	GOV.02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bullet"/>
      <w:lvlText w:val="•"/>
      <w:lvlJc w:val="left"/>
      <w:pPr>
        <w:ind w:left="10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280"/>
      <w:outlineLvl w:val="0"/>
    </w:pPr>
    <w:rPr>
      <w:rFonts w:ascii="Calibri" w:cs="Calibri" w:eastAsia="Calibri" w:hAnsi="Calibri"/>
      <w:b/>
      <w:bCs/>
      <w:color w:val="1B365D"/>
      <w:sz w:val="28"/>
      <w:szCs w:val="28"/>
    </w:rPr>
  </w:style>
  <w:style w:type="paragraph" w:styleId="Heading2">
    <w:name w:val="Heading 2"/>
    <w:basedOn w:val="Normal"/>
    <w:next w:val="Normal"/>
    <w:qFormat/>
    <w:pPr>
      <w:spacing w:after="80" w:before="220"/>
      <w:outlineLvl w:val="1"/>
    </w:pPr>
    <w:rPr>
      <w:rFonts w:ascii="Calibri" w:cs="Calibri" w:eastAsia="Calibri" w:hAnsi="Calibri"/>
      <w:b/>
      <w:bCs/>
      <w:color w:val="1B365D"/>
      <w:sz w:val="24"/>
      <w:szCs w:val="24"/>
    </w:rPr>
  </w:style>
  <w:style w:type="paragraph" w:styleId="Heading3">
    <w:name w:val="Heading 3"/>
    <w:basedOn w:val="Normal"/>
    <w:next w:val="Normal"/>
    <w:qFormat/>
    <w:pPr>
      <w:spacing w:after="60" w:before="160"/>
      <w:outlineLvl w:val="2"/>
    </w:pPr>
    <w:rPr>
      <w:rFonts w:ascii="Calibri" w:cs="Calibri" w:eastAsia="Calibri" w:hAnsi="Calibri"/>
      <w:b/>
      <w:bCs/>
      <w:color w:val="3A4A63"/>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GOV.02 Conflict of Interest Compliance Procedures (2026)</dc:title>
  <dc:creator>Office of the Clerk of the Board of Governors</dc:creator>
  <dc:description>Tier 1 Board Policy and compliance procedures for The Blevins Company and affiliates.</dc:description>
  <cp:lastModifiedBy>Un-named</cp:lastModifiedBy>
  <cp:revision>1</cp:revision>
  <dcterms:created xsi:type="dcterms:W3CDTF">2026-09-18T05:10:26.721Z</dcterms:created>
  <dcterms:modified xsi:type="dcterms:W3CDTF">2026-09-18T05:10:26.722Z</dcterms:modified>
</cp:coreProperties>
</file>

<file path=docProps/custom.xml><?xml version="1.0" encoding="utf-8"?>
<Properties xmlns="http://schemas.openxmlformats.org/officeDocument/2006/custom-properties" xmlns:vt="http://schemas.openxmlformats.org/officeDocument/2006/docPropsVTypes"/>
</file>